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C3" w:rsidRDefault="00DD32C3" w:rsidP="00DD32C3">
      <w:pPr>
        <w:pStyle w:val="Default"/>
        <w:jc w:val="center"/>
        <w:rPr>
          <w:rFonts w:ascii="Bookman Old Style" w:hAnsi="Bookman Old Style" w:cs="Bookman Old Style"/>
          <w:bCs/>
          <w:color w:val="244061"/>
        </w:rPr>
      </w:pPr>
    </w:p>
    <w:p w:rsidR="00DD32C3" w:rsidRDefault="00DD32C3" w:rsidP="00DD32C3">
      <w:pPr>
        <w:pStyle w:val="Default"/>
        <w:jc w:val="both"/>
        <w:rPr>
          <w:rFonts w:ascii="Bookman Old Style" w:hAnsi="Bookman Old Style" w:cs="Bookman Old Style"/>
          <w:b/>
          <w:bCs/>
        </w:rPr>
      </w:pPr>
    </w:p>
    <w:p w:rsidR="00DD32C3" w:rsidRDefault="00DD32C3" w:rsidP="00DD32C3">
      <w:pPr>
        <w:pStyle w:val="Default"/>
        <w:jc w:val="center"/>
        <w:rPr>
          <w:rFonts w:ascii="Bookman Old Style" w:hAnsi="Bookman Old Style" w:cs="Bookman Old Style"/>
          <w:b/>
          <w:bCs/>
        </w:rPr>
      </w:pPr>
      <w:r>
        <w:rPr>
          <w:rFonts w:ascii="Bookman Old Style" w:hAnsi="Bookman Old Style" w:cs="Bookman Old Style"/>
          <w:b/>
          <w:bCs/>
        </w:rPr>
        <w:t>Art. 23.</w:t>
      </w:r>
    </w:p>
    <w:p w:rsidR="00DD32C3" w:rsidRDefault="00DD32C3" w:rsidP="00DD32C3">
      <w:pPr>
        <w:pStyle w:val="Default"/>
        <w:jc w:val="center"/>
        <w:rPr>
          <w:rFonts w:ascii="Bookman Old Style" w:hAnsi="Bookman Old Style" w:cs="Bookman Old Style"/>
        </w:rPr>
      </w:pPr>
      <w:r>
        <w:rPr>
          <w:rFonts w:ascii="Bookman Old Style" w:hAnsi="Bookman Old Style" w:cs="Bookman Old Style"/>
          <w:b/>
          <w:bCs/>
        </w:rPr>
        <w:t xml:space="preserve"> Riduzioni per inferiori livelli di prestazione del servizio</w:t>
      </w:r>
    </w:p>
    <w:p w:rsidR="00DD32C3" w:rsidRDefault="00DD32C3" w:rsidP="00DD32C3">
      <w:pPr>
        <w:pStyle w:val="Default"/>
        <w:jc w:val="both"/>
        <w:rPr>
          <w:rFonts w:ascii="Bookman Old Style" w:hAnsi="Bookman Old Style" w:cs="Bookman Old Style"/>
        </w:rPr>
      </w:pPr>
      <w:r>
        <w:rPr>
          <w:rFonts w:ascii="Bookman Old Style" w:hAnsi="Bookman Old Style" w:cs="Bookman Old Style"/>
        </w:rPr>
        <w:t xml:space="preserve">1. Il tributo è ridotto, tanto nella parte fissa quanto nella parte variabile, al 40% per le utenze poste a una distanza superiore </w:t>
      </w:r>
      <w:r w:rsidRPr="008652A8">
        <w:rPr>
          <w:rFonts w:ascii="Bookman Old Style" w:hAnsi="Bookman Old Style" w:cs="Bookman Old Style"/>
        </w:rPr>
        <w:t>a metri 1000</w:t>
      </w:r>
      <w:r>
        <w:rPr>
          <w:rFonts w:ascii="Bookman Old Style" w:hAnsi="Bookman Old Style" w:cs="Bookman Old Style"/>
        </w:rPr>
        <w:t xml:space="preserve"> </w:t>
      </w:r>
      <w:r w:rsidRPr="008652A8">
        <w:rPr>
          <w:rFonts w:ascii="Bookman Old Style" w:hAnsi="Bookman Old Style" w:cs="Bookman Old Style"/>
        </w:rPr>
        <w:t>dalla più vicina zona servita</w:t>
      </w:r>
      <w:r>
        <w:rPr>
          <w:rFonts w:ascii="Bookman Old Style" w:hAnsi="Bookman Old Style" w:cs="Bookman Old Style"/>
        </w:rPr>
        <w:t>, misurato dall’accesso dell’utenza alla strada pubblica.</w:t>
      </w:r>
    </w:p>
    <w:p w:rsidR="00DD32C3" w:rsidRDefault="00DD32C3" w:rsidP="00DD32C3">
      <w:pPr>
        <w:pStyle w:val="Default"/>
        <w:jc w:val="both"/>
        <w:rPr>
          <w:rFonts w:ascii="Bookman Old Style" w:hAnsi="Bookman Old Style" w:cs="Bookman Old Style"/>
          <w:b/>
          <w:bCs/>
        </w:rPr>
      </w:pPr>
      <w:r>
        <w:rPr>
          <w:rFonts w:ascii="Bookman Old Style" w:hAnsi="Bookman Old Style" w:cs="Bookman Old Style"/>
        </w:rPr>
        <w:t>2. Il tributo è dovuto nella misura del 20% della tariffa nei periodi di mancato svolgimento del servizio di gestione dei rifiuti, ovvero di effettuazione dello stesso in grave violazione della disciplina di riferimento, nonché di interruzione del servizio per motivi sindacali o per imprevedibili impedimenti organizzativi che abbiano determinato una situazione riconosciuta dall'autorità sanitaria di danno o pericolo di danno alle persone o all'ambiente.</w:t>
      </w:r>
    </w:p>
    <w:p w:rsidR="00DD32C3" w:rsidRDefault="00DD32C3" w:rsidP="00DD32C3">
      <w:pPr>
        <w:pStyle w:val="Default"/>
        <w:jc w:val="both"/>
        <w:rPr>
          <w:rFonts w:ascii="Bookman Old Style" w:hAnsi="Bookman Old Style" w:cs="Bookman Old Style"/>
          <w:b/>
          <w:bCs/>
        </w:rPr>
      </w:pPr>
    </w:p>
    <w:p w:rsidR="00DD32C3" w:rsidRDefault="00DD32C3" w:rsidP="00DD32C3">
      <w:pPr>
        <w:pStyle w:val="Default"/>
        <w:jc w:val="center"/>
        <w:rPr>
          <w:rFonts w:ascii="Bookman Old Style" w:hAnsi="Bookman Old Style" w:cs="Bookman Old Style"/>
          <w:b/>
        </w:rPr>
      </w:pPr>
      <w:r>
        <w:rPr>
          <w:rFonts w:ascii="Bookman Old Style" w:hAnsi="Bookman Old Style" w:cs="Bookman Old Style"/>
          <w:b/>
        </w:rPr>
        <w:t>Art. 24.</w:t>
      </w:r>
    </w:p>
    <w:p w:rsidR="00DD32C3" w:rsidRDefault="00DD32C3" w:rsidP="00DD32C3">
      <w:pPr>
        <w:pStyle w:val="Default"/>
        <w:jc w:val="center"/>
        <w:rPr>
          <w:rFonts w:ascii="Bookman Old Style" w:hAnsi="Bookman Old Style" w:cs="Bookman Old Style"/>
        </w:rPr>
      </w:pPr>
      <w:r>
        <w:rPr>
          <w:rFonts w:ascii="Bookman Old Style" w:hAnsi="Bookman Old Style" w:cs="Bookman Old Style"/>
          <w:b/>
        </w:rPr>
        <w:t xml:space="preserve"> Agevolazioni</w:t>
      </w:r>
    </w:p>
    <w:p w:rsidR="00DD32C3" w:rsidRDefault="00DD32C3" w:rsidP="00DD32C3">
      <w:pPr>
        <w:pStyle w:val="Default"/>
        <w:jc w:val="both"/>
        <w:rPr>
          <w:rFonts w:ascii="Bookman Old Style" w:hAnsi="Bookman Old Style" w:cs="Bookman Old Style"/>
          <w:bCs/>
        </w:rPr>
      </w:pPr>
      <w:r>
        <w:rPr>
          <w:rFonts w:ascii="Bookman Old Style" w:hAnsi="Bookman Old Style" w:cs="Bookman Old Style"/>
        </w:rPr>
        <w:t xml:space="preserve">1. La tariffa si applica in misura ridotta </w:t>
      </w:r>
      <w:r>
        <w:rPr>
          <w:rFonts w:ascii="Bookman Old Style" w:hAnsi="Bookman Old Style" w:cs="Bookman Old Style"/>
          <w:bCs/>
        </w:rPr>
        <w:t>alle utenze che si trovano nelle seguenti condizioni:</w:t>
      </w:r>
    </w:p>
    <w:p w:rsidR="00DD32C3" w:rsidRPr="008652A8" w:rsidRDefault="00DD32C3" w:rsidP="00DD32C3">
      <w:pPr>
        <w:pStyle w:val="Default"/>
        <w:jc w:val="both"/>
        <w:rPr>
          <w:rFonts w:ascii="Bookman Old Style" w:hAnsi="Bookman Old Style" w:cs="Bookman Old Style"/>
        </w:rPr>
      </w:pPr>
      <w:r w:rsidRPr="008652A8">
        <w:rPr>
          <w:rFonts w:ascii="Bookman Old Style" w:hAnsi="Bookman Old Style" w:cs="Bookman Old Style"/>
        </w:rPr>
        <w:t xml:space="preserve">a) i locali ed aree in cui è esercitato pubblicamente il culto: riduzione del 100 % nella parte fissa e nella parte variabile; </w:t>
      </w:r>
    </w:p>
    <w:p w:rsidR="00DD32C3" w:rsidRPr="008652A8" w:rsidRDefault="00DD32C3" w:rsidP="00DD32C3">
      <w:pPr>
        <w:pStyle w:val="Default"/>
        <w:jc w:val="both"/>
        <w:rPr>
          <w:rFonts w:ascii="Bookman Old Style" w:hAnsi="Bookman Old Style" w:cs="Bookman Old Style"/>
        </w:rPr>
      </w:pPr>
      <w:r w:rsidRPr="008652A8">
        <w:rPr>
          <w:rFonts w:ascii="Bookman Old Style" w:hAnsi="Bookman Old Style" w:cs="Bookman Old Style"/>
        </w:rPr>
        <w:t>b) i locali e le aree adibiti a scuole riconosciute paritarie, nonché i locali e le aree adibiti a servizi per i quali il Comune sia tenuto a sostenere le spese di funzionamento: riduzione del 100% nella parte fissa e nella parte variabile;</w:t>
      </w:r>
    </w:p>
    <w:p w:rsidR="00DD32C3" w:rsidRDefault="00DD32C3" w:rsidP="00DD32C3">
      <w:pPr>
        <w:pStyle w:val="Default"/>
        <w:jc w:val="both"/>
        <w:rPr>
          <w:rFonts w:ascii="Bookman Old Style" w:hAnsi="Bookman Old Style" w:cs="Bookman Old Style"/>
        </w:rPr>
      </w:pPr>
      <w:r w:rsidRPr="008652A8">
        <w:rPr>
          <w:rFonts w:ascii="Bookman Old Style" w:hAnsi="Bookman Old Style" w:cs="Bookman Old Style"/>
        </w:rPr>
        <w:t>c) i locali e le aree adibiti a Case di Riposo che non hanno scopo di lucro : riduzione del 100% nella parte fissa e nella parte variabile;</w:t>
      </w:r>
    </w:p>
    <w:p w:rsidR="00DD32C3" w:rsidRDefault="00DD32C3" w:rsidP="00DD32C3">
      <w:pPr>
        <w:pStyle w:val="Default"/>
        <w:jc w:val="both"/>
        <w:rPr>
          <w:rFonts w:ascii="Bookman Old Style" w:hAnsi="Bookman Old Style" w:cs="Bookman Old Style"/>
        </w:rPr>
      </w:pPr>
      <w:r>
        <w:rPr>
          <w:rFonts w:ascii="Bookman Old Style" w:hAnsi="Bookman Old Style" w:cs="Bookman Old Style"/>
        </w:rPr>
        <w:t>d) le abitazioni possedute a titolo di proprietà o usufrutto da anziani o disabili ricoverato in modo permanente presso una casa di riposo a condizione che l’unità immobiliare stessa non risulti locata o comunque occupata da altro soggetto: riduzione del 100%</w:t>
      </w:r>
    </w:p>
    <w:p w:rsidR="00DD32C3" w:rsidRDefault="00DD32C3" w:rsidP="00DD32C3">
      <w:pPr>
        <w:pStyle w:val="Default"/>
        <w:jc w:val="both"/>
        <w:rPr>
          <w:rFonts w:ascii="Bookman Old Style" w:hAnsi="Bookman Old Style" w:cs="Bookman Old Style"/>
        </w:rPr>
      </w:pPr>
    </w:p>
    <w:p w:rsidR="00DD32C3" w:rsidRDefault="00DD32C3" w:rsidP="00DD32C3">
      <w:pPr>
        <w:pStyle w:val="Default"/>
        <w:jc w:val="both"/>
        <w:rPr>
          <w:rFonts w:ascii="Bookman Old Style" w:hAnsi="Bookman Old Style" w:cs="Bookman Old Style"/>
          <w:b/>
          <w:bCs/>
        </w:rPr>
      </w:pPr>
      <w:r>
        <w:rPr>
          <w:rFonts w:ascii="Bookman Old Style" w:hAnsi="Bookman Old Style" w:cs="Bookman Old Style"/>
        </w:rPr>
        <w:t>c</w:t>
      </w:r>
      <w:r>
        <w:rPr>
          <w:rFonts w:ascii="Bookman Old Style" w:hAnsi="Bookman Old Style" w:cs="Bookman Old Style"/>
          <w:bCs/>
        </w:rPr>
        <w:t xml:space="preserve">. Le riduzioni di cui al presente articolo cessano di operare alla data in cui ne vengono meno le condizioni di fruizione, anche in mancanza della relativa dichiarazione. </w:t>
      </w:r>
    </w:p>
    <w:p w:rsidR="00DD32C3" w:rsidRDefault="00DD32C3" w:rsidP="00DD32C3">
      <w:pPr>
        <w:pStyle w:val="Default"/>
        <w:jc w:val="both"/>
        <w:rPr>
          <w:rFonts w:ascii="Bookman Old Style" w:hAnsi="Bookman Old Style" w:cs="Bookman Old Style"/>
          <w:b/>
          <w:bCs/>
        </w:rPr>
      </w:pPr>
    </w:p>
    <w:p w:rsidR="00DD32C3" w:rsidRDefault="00DD32C3" w:rsidP="00DD32C3">
      <w:pPr>
        <w:pStyle w:val="Default"/>
        <w:jc w:val="center"/>
        <w:rPr>
          <w:rFonts w:ascii="Bookman Old Style" w:hAnsi="Bookman Old Style" w:cs="Bookman Old Style"/>
          <w:b/>
          <w:bCs/>
        </w:rPr>
      </w:pPr>
      <w:r>
        <w:rPr>
          <w:rFonts w:ascii="Bookman Old Style" w:hAnsi="Bookman Old Style" w:cs="Bookman Old Style"/>
          <w:b/>
          <w:bCs/>
        </w:rPr>
        <w:t xml:space="preserve">Art. 25. </w:t>
      </w:r>
    </w:p>
    <w:p w:rsidR="00DD32C3" w:rsidRDefault="00DD32C3" w:rsidP="00DD32C3">
      <w:pPr>
        <w:pStyle w:val="Default"/>
        <w:jc w:val="center"/>
        <w:rPr>
          <w:rFonts w:ascii="Bookman Old Style" w:hAnsi="Bookman Old Style" w:cs="Bookman Old Style"/>
          <w:bCs/>
        </w:rPr>
      </w:pPr>
      <w:r>
        <w:rPr>
          <w:rFonts w:ascii="Bookman Old Style" w:hAnsi="Bookman Old Style" w:cs="Bookman Old Style"/>
          <w:b/>
          <w:bCs/>
        </w:rPr>
        <w:t>Cumulo di riduzioni e agevolazioni</w:t>
      </w:r>
    </w:p>
    <w:p w:rsidR="00DD32C3" w:rsidRDefault="00DD32C3" w:rsidP="00DD32C3">
      <w:pPr>
        <w:pStyle w:val="Default"/>
        <w:jc w:val="both"/>
        <w:rPr>
          <w:rFonts w:ascii="Bookman Old Style" w:hAnsi="Bookman Old Style" w:cs="Bookman Old Style"/>
          <w:b/>
          <w:bCs/>
          <w:color w:val="244061"/>
        </w:rPr>
      </w:pPr>
      <w:r>
        <w:rPr>
          <w:rFonts w:ascii="Bookman Old Style" w:hAnsi="Bookman Old Style" w:cs="Bookman Old Style"/>
          <w:bCs/>
        </w:rPr>
        <w:t>1. Qualora si rendessero applicabili più riduzioni o agevolazioni, ciascuna di esse opera sull’importo ottenuto dall’applicazione delle riduzioni o agevolazioni precedentemente considerate.</w:t>
      </w:r>
    </w:p>
    <w:p w:rsidR="00745175" w:rsidRPr="00DD32C3" w:rsidRDefault="00DD32C3" w:rsidP="00DD32C3">
      <w:bookmarkStart w:id="0" w:name="_GoBack"/>
      <w:bookmarkEnd w:id="0"/>
    </w:p>
    <w:sectPr w:rsidR="00745175" w:rsidRPr="00DD32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04"/>
    <w:rsid w:val="003C6745"/>
    <w:rsid w:val="003E4404"/>
    <w:rsid w:val="00DD32C3"/>
    <w:rsid w:val="00EE6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70CD4-8DE5-4E52-8521-2091E785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32C3"/>
    <w:pPr>
      <w:widowControl w:val="0"/>
      <w:suppressAutoHyphens/>
      <w:autoSpaceDE w:val="0"/>
      <w:spacing w:after="0" w:line="240" w:lineRule="auto"/>
    </w:pPr>
    <w:rPr>
      <w:rFonts w:ascii="Courier New" w:eastAsia="Times New Roman" w:hAnsi="Courier New" w:cs="Courier New"/>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onofrio caforio</dc:creator>
  <cp:keywords/>
  <dc:description/>
  <cp:lastModifiedBy>onofrio caforio</cp:lastModifiedBy>
  <cp:revision>2</cp:revision>
  <dcterms:created xsi:type="dcterms:W3CDTF">2021-02-03T11:00:00Z</dcterms:created>
  <dcterms:modified xsi:type="dcterms:W3CDTF">2021-02-03T11:01:00Z</dcterms:modified>
</cp:coreProperties>
</file>