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EE" w:rsidRDefault="005410EE" w:rsidP="005410EE">
      <w:pPr>
        <w:pStyle w:val="NormaleWeb"/>
        <w:spacing w:before="60" w:beforeAutospacing="0" w:after="60" w:afterAutospacing="0"/>
        <w:jc w:val="center"/>
      </w:pPr>
      <w:bookmarkStart w:id="0" w:name="_GoBack"/>
      <w:bookmarkEnd w:id="0"/>
    </w:p>
    <w:p w:rsidR="005410EE" w:rsidRDefault="005410EE" w:rsidP="005410EE">
      <w:pPr>
        <w:pStyle w:val="NormaleWeb"/>
        <w:spacing w:before="60" w:beforeAutospacing="0" w:after="60" w:afterAutospacing="0"/>
        <w:jc w:val="center"/>
      </w:pPr>
      <w:r>
        <w:rPr>
          <w:rStyle w:val="Enfasigrassetto"/>
        </w:rPr>
        <w:t>Elenco procedimenti/Aree di rischio per unità organizzativa </w:t>
      </w:r>
    </w:p>
    <w:tbl>
      <w:tblPr>
        <w:tblW w:w="5000" w:type="pct"/>
        <w:jc w:val="center"/>
        <w:tblCellSpacing w:w="0" w:type="dxa"/>
        <w:tblCellMar>
          <w:left w:w="0" w:type="dxa"/>
          <w:right w:w="0" w:type="dxa"/>
        </w:tblCellMar>
        <w:tblLook w:val="04A0" w:firstRow="1" w:lastRow="0" w:firstColumn="1" w:lastColumn="0" w:noHBand="0" w:noVBand="1"/>
      </w:tblPr>
      <w:tblGrid>
        <w:gridCol w:w="1326"/>
        <w:gridCol w:w="1453"/>
        <w:gridCol w:w="2809"/>
        <w:gridCol w:w="1502"/>
        <w:gridCol w:w="1743"/>
        <w:gridCol w:w="751"/>
        <w:gridCol w:w="604"/>
      </w:tblGrid>
      <w:tr w:rsidR="005410EE">
        <w:trPr>
          <w:tblCellSpacing w:w="0" w:type="dxa"/>
          <w:jc w:val="center"/>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Edilizia Privata / Urbanistica</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Accertamento di compatibilità ambientale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3,54</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accertamento della compatibilità paesaggistica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 Verifica della correttezza della documentazione ed eventuale richiesta della documentazione integrativa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Assegnazione commissione edilizia ambiente del paesaggio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Trasmissione in soprintendenza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01_05_01 Elaborazione parere vincolante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Comunicazione dell'avvio del procedimento al richiedente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Ricezione parere vincolante della soprintendenza e calcolo della sanzione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 Deposito parere favorevole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01_07_01_01 Comunicazione all'interessato dell'accertamento della compatibilità paesaggistica dei lavori effettuati e irrogazione della sanzione pecuniaria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01_07_01_02 Presentazione della ricevuta di pagamento della sanzione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01_07_01_03 Rilascio del provvedimento di accertamento di compatibilità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 Deposito parere negativo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01_07_01_01 Comunicazione dell'esito negativo e delle conseguenze all'interessato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 Parere favorevole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01_07_02_01 Comunicazione all'interessato dell'accertamento della compatibilità paesaggistica dei lavori effettuati e irrogazione della sanzione pecuniaria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01_07_02_02 Presentazione della ricevuta di pagamento della sanzione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01_07_02_03 Rilascio del provvedimento di accertamento di compatibilità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 Parere negativo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01_07_02_01 Comunicazione dell'esito negativo e delle conseguenze all'interessato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01_08 Trasmissione in soprintendenza e contestuale </w:t>
            </w:r>
            <w:r>
              <w:rPr>
                <w:rFonts w:eastAsia="Times New Roman"/>
              </w:rPr>
              <w:lastRenderedPageBreak/>
              <w:t>comunicazione dell'avvio del procedimento al richiedente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01_08_01 Elaborazione relazione di compatibilità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Accertamento e repressione degli abusi edilizi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3,54</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Iniziativa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Iniziativa d'ufficio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01_01_03 Segnalazione da parte di altri uffici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Accertamenti e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Emissione ordinanza di sospensione lavori (valida 45gg)</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01_05 Invio messi per notifica ordinanza di sospensione lavori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Redazione relazione tecnica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01_06_01 Riscontro di un reato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01_06_01_01 Invio degli atti e della documentazione alla PP.LL. per trasmissione alla Procura della Repubblica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01_06_01_02 Predisposizone ordinanza demolizione/rimessa in pristino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01_06_01_03 Invio ai Messi per notifica ordinanza demolizione/rimessa in pristino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01_06_02 Ricezione verbale inottemperanza ordinanza da PP.LL.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01_06_02_01 Trasmissione al area Patrimonio per trascrizione acquisizione area e immobili abusivi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Adozione piani attuativi (P.L./P.A, etc.)</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E - provvedimenti pianificazione urbanistica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5,75</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 e avvio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01_03_01 Integrazione documentale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 Istruttoria – acquisizione dei pareri interni ed esterni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01_03_03 Definizione obblighi e oneri a carico del Proponente – contenuti convenzione urbanistica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Adozione da parte della Giunta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Deposito presso la segreteria per quindici giorni ( entro 5 giorni dalla delibera)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01_05_01 Presentazione osservazioni – entro 15 gg</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01_05_02 Valutazione e controdeduzione eventuali osservazioni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Approvazione da parte della Giunta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Deposito del piano approvato presso la segreteria del comune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 Pubblicazione nell'albo pretorio del comune dell’avviso di approvazione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Sottoscrizione della Convenzione urbanistica da parte del Dirigente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Autorizzazione alla collocazione del </w:t>
            </w:r>
            <w:r>
              <w:rPr>
                <w:rFonts w:eastAsia="Times New Roman"/>
              </w:rPr>
              <w:lastRenderedPageBreak/>
              <w:t>cartello passo carraio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AREA C - provvedimenti ampliativi sfera giuridica privi effetto </w:t>
            </w:r>
            <w:r>
              <w:rPr>
                <w:rFonts w:eastAsia="Times New Roman"/>
              </w:rPr>
              <w:lastRenderedPageBreak/>
              <w:t>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lastRenderedPageBreak/>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Fase di verifica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Verifica della documentazione presentata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Verifica tecnica sul posto, tramite gli uffici preposti, per l'accertamento delle condizioni descritte nella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01_01_03 Ottenimento di eventuali pareri necessari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Esito negativo: comunicazione motivata di diniego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Esito positivo: Comunicazione comprensiva dei dispositivi utili per effettuare il versamento degli oneri economici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Comunicazione costo per la fornitura cartello ex art. 22 c. 3 D.lgs. 285/90 e s.m.i.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 Comunicazione costo per il sopralluogo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01_03_03 Canone di occupazione del suolo pubblico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01_03_04 Marca da bollo su atto autorizzativo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Autorizzazione Unica Ambientale (AUA)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AREA C - provvedimenti ampliativi sfera giuridica privi effetto </w:t>
            </w:r>
            <w:r>
              <w:rPr>
                <w:rFonts w:eastAsia="Times New Roman"/>
              </w:rPr>
              <w:lastRenderedPageBreak/>
              <w:t>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lastRenderedPageBreak/>
              <w:t>2,66666666666667</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della domanda in forma telematica al SUAP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Controllo formale della domanda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Il SUAP immediatamente in modalità telematica, trasmette la domanda all'A.C. e agli altri Soggetti competenti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 Il SUAP in accordo con l'Autorità Competente (Provincia) verifica la correttezza formale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01_02_02_01 Documentazione completa segue l'esame nel merito della domanda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01_02_02_02 Documentazione incompleta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01_02_02_02_01 L' A.C. individua le integrazioni necessarie e fissa il termine per presentare le integrazioni stesse, le trasmette al SUAP che le inoltra al richiedente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01_02_02_02_01_01 Il richiedente non presenta le integrazioni in tempo la domanda è archiviata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01_02_02_02_01_02 Il richiedente presenta le integrazioni in tempo il procedimento riprende il suo 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Fase istruttoria/ Decisoria nel merito dell'istanza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Procedimenti con durata fino a 90 giorni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 L' A.C. adotta il provvedimento e lo trasmette al SUAP che rilascia il titolo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01_03_01_01_01 Il SUAP può indire la Conferenza dei Servizi ai sensi dell'art 7 del DPR n. 160/2010</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 Procedimenti con durata superiore a 90 giorni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01_03_02_01 Il SUAP indice, entro 30 giorni la Conferenza dei servizi, secondo l'art 7 DPR n. 160/2010</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01_03_02_02 L' A.C. adotta l'A.U.A (entro 120 gg. dal ricevimento della domanda); il termine sale a 150 gg. (in caso di richiesta di integrazioni)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L'autorità Competente (la Provincia) adotta il provvedimento che contiene le prescrizioni autorizzatorie, lo trasmette al SUAP che rilascia l'AUA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Partecipazione a iter urbanistici di altri enti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E - provvedimenti pianificazione urbanistica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5,75</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comunicazione deposito atti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01_02 Valutazione del responsabile dell'unità organizzativa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Redazione proposta di parere/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Valutazione della proposta da parte della G.C.</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Trasmissione parere/ ev. partecipazione Dirigente conferenza di servizio o concertazione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Permesso di costruire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 non conformità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01_03_01_01_01 Comunicazione all'istante della non conformità e quindi motivi ostativi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01_03_01_01_02 Richiesta da parte dell'istante del rilascio del permesso di costruire in deroga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01_03_01_01_03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01_03_01_01_04 Valutazione da parte del consiglio comunale per l'autorizzazione della deroga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01_03_01_02 Conformità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Istruttoria-parere commissione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Il R.P cura l'istruttoria, può richidere modifiche, convoca la conferenza di servizi. Entro trenta giorni dalla presentazione della domanda, per una sola volta, può interrompere il termine per richiedere documenti che integrino o completino la documentazione. In tal caso il termine ricomincia a decorrere dalla data di ricezione della documentazione integrativa.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Proposta motivata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01_05_01 Il responsabile del procedimento cura l'istruttoria, e formula una proposta di provvedimento, corredata da una dettagliata relazione, con la qualificazione tecnico-giuridica dell'intervento richiesto. Predispone inoltre il calcolo del contributo di costruzione.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Emissione provvedimento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Ricorsi avverso procedimenti sanzionatori polizia edilizia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I - affari legali e contenzioso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3,95</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Notifica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Proposta di delibera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Discussione delibera in giunta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Determina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Assegnazione incarico al legale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Rilascio certificato di destinazione urbanistica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E - provvedimenti pianificazione urbanistica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5,75</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Pianificazione comunale generale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Definizione obiettivi delle politiche di sviluppo del territorio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01_01_01_01 Individuazione di criteri generali e linee guida per la definizione delle scelte pianificatorie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Redazione piano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01_01_02_01 Elaborazione delle scelte pianificatorie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01_01_03 Adozione e deposito piano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01_01_03_01 L'organo politico adotta il nuovo strumento </w:t>
            </w:r>
            <w:r>
              <w:rPr>
                <w:rFonts w:eastAsia="Times New Roman"/>
              </w:rPr>
              <w:lastRenderedPageBreak/>
              <w:t>urbanistico e lo mette a disposizione del pubblico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 Deposito osservazioni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01_01_04_01 Il pubblico presenta le proprie osservazioni sulle scelte pianificatorie espresse nel piano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01_01_05 Controdeduzioni e approvazione piano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01_01_05_01 l'organo politico approva il nuovo strumento urbanistico motivando sull'avvenuto o mancato accoglimento delle osservazioni depositate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SCIA Edilizia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segnalazione con autocertificazione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 e avvio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Verifica conformità al PGT, alle norme e regolamenti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Non conformità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01_04_02 Trasmissione al Dirigente per emanazione </w:t>
            </w:r>
            <w:r>
              <w:rPr>
                <w:rFonts w:eastAsia="Times New Roman"/>
              </w:rPr>
              <w:lastRenderedPageBreak/>
              <w:t>ordine motivato di non effettuare l'attività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01_04_03 Notifica tramite Messo o PEC all’interessato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01_04_04 Ricezione e valutazione eventuali osservazioni dell’interessato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01_04_05 Revoca ordine motivato di non effettuare l’attività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01_04_06 Conferma ordine motivato di non effettuare l’attività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Ricezione dichiarazione eseguita attività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427"/>
        <w:gridCol w:w="1501"/>
        <w:gridCol w:w="2853"/>
        <w:gridCol w:w="2031"/>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Lavori pubblici</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Procedura espropriativa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E - provvedimenti pianificazione urbanistica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5,75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Verifica apposizione vincolo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Avvio procedimento espropriativo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Dichiarazione pubblica utilità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Approvazione piano particellare e determinazione indennità di esproprio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Comunicazione al privato dell’indennità di esproprio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Accettazione indennità proposta e perfezionamento accordo bonario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Avvio all'espropriazione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291"/>
        <w:gridCol w:w="1537"/>
        <w:gridCol w:w="3377"/>
        <w:gridCol w:w="1607"/>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Ragioneria</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Acquisti in economato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B - affidamento di lavori servizi e forniture</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4,37</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 pagamenti in contanti (scontrino, ricevuta fiscale e c.c.p)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Ricezione da parte dell’ufficio del modulo “richiesta anticipazione contanti”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Verifica del presupposti di legittimità del buono da parte dell' Economo responsabile di Area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01_01_03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 Erogazione denaro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01_01_05 Consegna del “buono economale” all’ufficio economato unitamente alle pezze giustificative di spesa e chiusura dei conti (eventuale resto o erogazione altro denaro)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01_01_06 Registrazione buono nel programma di gestione economato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Nel caso di richiesta di pagamento in tramite conto corrente bancario (fattura)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Ricezione buono economale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 Verifica corretta imputazione importo sulla liquidazione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01_02_03 Consegna liquidazione alla ragioneria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Appalto servizio di tesoreria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B - affidamento di lavori servizi e forniture</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4,37</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Predisposizione/aggiornamento Bozza di Convenzione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Approvazione Bozza di convenzione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Predisposizione e pubblicazione bando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01_04 Ricezione domanda di partecipazione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Nomina commissione di gara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Istruttoria e Individuazione dell'aggiudicatario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Aggiudicazione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Emissione iter pagamenti (fattura, mandato, etc.)</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F - gestione delle entrate delle spese e del patrimonio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Liquidazione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Invio atti di liquidazione all'ufficio ragioneria tramite il programma di contabilità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Verifica della correttezza della liquidazione rispetto all'impegno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01_02_01_01 Controllo conto dedicato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01_02_01_02 Controllo DURC in regola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01_02_01_03 Controllo regolarità pagamenti cartelle esattoriali superiori a 10.000,00 Euro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 Emissione del mandato informatico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Pagamento da parte del tesoriere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Controllo giornale di cassa e importazione delle quietanze di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Gestione iter mutuo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F - gestione delle entrate delle spese e del patrimonio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Atto fondamentale in bilancio in cui sia prevista l'assunzione del mutuo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Verifica stesura del programma triennale dei lavori pubblici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Elabora dall' ufficio tecnico ,in cui sia prevista l'eventuale assunzione del mutuo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Avvio indagine di mercato per verificare le condizioni offerte dai vari istituti bancari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Predisposizione determina a contrarre o avvio procedura di gara (per Istituti bancari diversi dalla Cassa Depositi e Prestiti )per l'assunzione del mutuo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01_05_01 Eventuale utilizzo di piattaforme informatiche MEPA,CONSIP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Predisposizione e pubblicazione bando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Ricezione domanda di partecipazione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Nomina commissione di gara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01_09 Istruttoria e valutazione del responsabile dell'unità organizzativa delle domande dal RUP a dalla commissione di gara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01_10 Aggiudicazione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01_11 Presentazione fatture all'ufficio tecnico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01_12 Richiesta di erogazione del mutuo da parte dell'ufficio tecnico in caso di mutui cassa depositi e prestiti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01_13 Erogazione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Gestione iter polizze assicurative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F - gestione delle entrate delle spese e del patrimonio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Stipula polizza assicurativa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Predisposizione Bando su indicazioni del broker</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Predisposizione determina a contrarre e approvazione del bando di gara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Avvio iter di gara anche eventualmente utilizzando le piattaforme informatiche MEPA e SINTEL</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Predisposizione determina per nomina commissione di gara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Valutazione delle domande dal RUP e dalla commissione di gara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Individuazione dell'aggiudicatario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01_09 Comunicazione dell'aggiudicazione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01_10 Pagamento premi annui e relative regolazioni sulla base dei dati raccolti dai vari uffici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Liquidazione rimborsi oneri a datore di lavoro per permessi retribuiti assessori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Verifica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Determina di Liquidazione rimborsi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Liquidazione rimborsi oneri a datore di lavoro per permessi </w:t>
            </w:r>
            <w:r>
              <w:rPr>
                <w:rFonts w:eastAsia="Times New Roman"/>
              </w:rPr>
              <w:lastRenderedPageBreak/>
              <w:t>retribuiti consiglieri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AREA D- provvedimento ampliativo sfera giuridica effetto </w:t>
            </w:r>
            <w:r>
              <w:rPr>
                <w:rFonts w:eastAsia="Times New Roman"/>
              </w:rPr>
              <w:lastRenderedPageBreak/>
              <w:t>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lastRenderedPageBreak/>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Verifica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Determina di Liquidazione rimborsi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Nomina Revisore dei Conti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H - incarichi e nomine</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Sorteggio effettuato dalla prefettura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 e verifica dei requisiti sulla base della autocertificazione sorteggiati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Delibera del consiglio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Nomina e rispettivo compenso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Comunicazione al soggetto prescelto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Revoca Revisore dei Conti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H - incarichi e nomine</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Rilevazione di una causa ostativa alla nomina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Presentazione di una causa ostativa alla nomina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Comunicazione alla prefettura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548"/>
        <w:gridCol w:w="1696"/>
        <w:gridCol w:w="2330"/>
        <w:gridCol w:w="2238"/>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Segreteria e Affari generali</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Concessione patrocinio comunale oneroso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AREA D- provvedimento ampliativo sfera </w:t>
            </w:r>
            <w:r>
              <w:rPr>
                <w:rFonts w:eastAsia="Times New Roman"/>
              </w:rPr>
              <w:lastRenderedPageBreak/>
              <w:t>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lastRenderedPageBreak/>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Concessione o diniego del patrocinio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Comunicazione all'istante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Gestione contenziosi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I - affari legali e contenzioso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3,95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Citazione in giudizio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Delibera di giunta di autorizzazione costituzione in giudizio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Determina affidamento incarico al legale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Pareri e consulenze legali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I - affari legali e contenzioso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3,95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Determina Conferimento incarico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Revoca Assessori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H - incarichi e nomine</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Comunicazione d'avvio del procedimento ai sensi dell'art 7 della L. 241/1990</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Procedimento di revoca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303"/>
        <w:gridCol w:w="1888"/>
        <w:gridCol w:w="2911"/>
        <w:gridCol w:w="1710"/>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lastRenderedPageBreak/>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Servizi sociali</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Assegno al nucleo familiare numeroso - inoltro domanda all'INPS (istruttoria da parte del comune di residenza)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Procedura di verifica dei requisiti (certificazione ISEE, stato di famiglia...)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Invio telematico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Assegno di maternità - inoltro domanda all'INPS (istruttoria da parte del comune di residenza)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Procedura di verifica dei requisiti (certificazione ISEE, stato di famiglia...)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Invio telematico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Bonus Energia - registrazione domande sul portale Sgate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Ricezione istanza e documentazione compilata con il supporto del CAF</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Procedura di verifica e gestione di eventuali problematicità documentale da parte del CAF e inserimento nel portale Sgate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Esito positivo: Documento informatico di accettazione dell’istanza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Provvedimento ricognitivo finale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Bonus Gas - registrazione domande sul portale Sgate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Ricezione istanza e documentazione compilata con il supporto del CAF</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Procedura di verifica e gestione di eventuali problematicità documentale da parte del CAF e inserimento nel portale Sgate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Esito positivo: Documento informatico di accettazione dell’istanza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Provvedimento ricognitivo finale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Erogazione contributi economici ad integrazione del reddito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Contributi economici a persone fisiche con fondi comunali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Raccolta della domanda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01_01_01_01 Su istanza di parte viene avviato il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Istruttoria e valutazione tecnica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01_01_02_01 L'assistente sociale valuta la situazione socio-economica del richiedente sulla base del regolamento comunale e della deliberazione di giunta che fissa la massima entità erogabile all'anno e propone nella relazione tecnica il contributo da erogare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Istruttoria e valutazione tecnica da parte dell’assistente sociale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01_01_02_01 L'assistente sociale valuta la situazione socio-economica del richiedente sulla base del regolamento comunale e della deliberazione di giunta che fissa la massima entità erogabile all'anno e propone nella relazione tecnica il contributo da erogare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01_01_03 Predisposizione del provvedimento di concessione del vantaggio economico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01_01_03_01 Elabora il provvedimento amministrativo </w:t>
            </w:r>
            <w:r>
              <w:rPr>
                <w:rFonts w:eastAsia="Times New Roman"/>
              </w:rPr>
              <w:lastRenderedPageBreak/>
              <w:t>di concessione del beneficio economico verificando la congruità della proposta elaborata dall'assistente sociale a conclusione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 Adozione del provvedimento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01_01_04_01 Adotta il provvedimento finale impegna e liquida il contributo spettante, verificando la congruità dell'analisi dell'assistente sociale e del responsabile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 Adozione del provvedimento da parte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01_01_04_01 Adotta il provvedimento finale impegna e liquida il contributo spettante, verificando la congruità dell'analisi dell'assistente sociale e del responsabile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Contributi economici a persone fisiche con fondi provinciali e regionali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Raccolta della domanda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01_02_01_01 Su istanza di parte viene avviato il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01_02_02_01 Sulla base del bando regionale o provinciale e dei criteri approvati dagli enti </w:t>
            </w:r>
            <w:r>
              <w:rPr>
                <w:rFonts w:eastAsia="Times New Roman"/>
              </w:rPr>
              <w:lastRenderedPageBreak/>
              <w:t>sovracomunali si definiscono i beneficiari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01_02_03 Comunicazione degli aventi diritto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01_02_03_01 Entro il termine di chiusura del bando vengono trasmessi alla regione e alla provincia i beneficiari con i requisiti per l'accesso al beneficio economico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01_02_04 Trasferimento dei fondi regionali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01_02_04_01 Vengono convalidati gli elenchi degli aventi diritto e trasferiti i fondi spettanti ai beneficiari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01_02_05 Adozione del provvedimento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01_02_05_01 Adotta il provvedimento finale accerta le somme trasferite dagli enti sovracomunali, impegna e liquida il contributo spettante a chiusura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Contributi economici ad associazioni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Raccolta della domanda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01_03_01_01 Su istanza di parte viene avviato il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01_03_02 Istruttoria della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01_03_02_01 Vengono accolte le istanze ammissibili di contributo sulla base di quanto </w:t>
            </w:r>
            <w:r>
              <w:rPr>
                <w:rFonts w:eastAsia="Times New Roman"/>
              </w:rPr>
              <w:lastRenderedPageBreak/>
              <w:t>previsto nel regolamento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01_03_03 Delibera di concessione del contributo ed individuazione della somma massima erogabile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01_03_03_01 L'amministrazione individua i progetti che intende sostenere e la somma massima erogabile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01_03_04 Predispone l'atto di impegno di spesa e di liquidazione acconto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01_03_04_01 Predispone il provvedimento di impegno della spesa e di liquidazione dell'acconto del contributo spettante come stabilito dal regolamento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01_03_05 Determina liquidazione acconto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01_03_05_01 Adotta il provvedimento di impegno della spesa e di liquidazione dell'acconto del contributo spettante come stabilito dal regolamento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01_03_06 Rendicontazione del contributo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01_03_06_01 Rendiconta le spese sostenute sulla base di quanto stabilito dal regolamento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01_03_07 Predispone la comunicazione di liquidazione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01_03_07_01 Verifica la corrispondenza della documentazione presentata a rendiconto delle spese sostenute ed ammesse a contributo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01_03_08 Comunicazione di liquidazione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01_03_08_01 Liquida il saldo spettante a conclusione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Ricalcolo del canone d'affitto degli alloggi ERP a seguito di peggioramento della condizione economica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Valutazione dei requisiti e formazione graduatoria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Produzione della determina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Produzione reversale di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Ricezione reversale di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351"/>
        <w:gridCol w:w="1532"/>
        <w:gridCol w:w="2732"/>
        <w:gridCol w:w="2197"/>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lastRenderedPageBreak/>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Tributi</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Accertamento tributi comunali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Acquisizione documentazione per aggiornamento base dati (Contribuenti, Agenzia Entrate, note ecc..)</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01_03 Emissione avvisi di accertamento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Informazioni al contribuente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Eventuale accertamento con adesione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Rettifica in autotutela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Controllo pagamenti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Analisi richiesta compensazione verticale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01_09 Attivazione procedure di recupero crediti insoluti sia direttamente che tramite società specializzate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01_10 Iscrizione a ruolo coattivo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01_11 Sgravio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01_12 Discarico per inesigibilità</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Rimborsi tributi/tasse comunali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AREA D- provvedimento ampliativo sfera </w:t>
            </w:r>
            <w:r>
              <w:rPr>
                <w:rFonts w:eastAsia="Times New Roman"/>
              </w:rPr>
              <w:lastRenderedPageBreak/>
              <w:t>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lastRenderedPageBreak/>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della richiesta da parte del contribuente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Presa in carico ed analisi della stessa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Comunicazione al contribuente dell'esito positivo o negativo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Predisposizione Determina di impegno di spesa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Liquidazione del rimborso delle somme dovute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Inserimento dati nel portale del Ministero (Federalismo Fiscale)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392"/>
        <w:gridCol w:w="1866"/>
        <w:gridCol w:w="1946"/>
        <w:gridCol w:w="2608"/>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Sindaco</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Concessione patrocinio comunale oneroso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D- provvedimento ampliativo sfera giuridica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4,16</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Concessione o diniego del patrocinio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Comunicazione all'istante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565"/>
        <w:gridCol w:w="2419"/>
        <w:gridCol w:w="2226"/>
        <w:gridCol w:w="1602"/>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Ambiente ed ecologia</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Esposti per adeguamento alla normativa vigente in materia ambientale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Segnalazione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01_01_02 Iniziativa d'ufficio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01_01_03 Segnalazione da parte di altri uffici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Accertamenti e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Verbale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Verbale da parte della Polizia Locale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Invio comunicazione agli enti amministrativi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360"/>
        <w:gridCol w:w="2114"/>
        <w:gridCol w:w="2037"/>
        <w:gridCol w:w="2301"/>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lastRenderedPageBreak/>
              <w:t>Ufficio Istruzione</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Iscrizioni servizi scolastici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Produzione della determina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Attivazione del servizio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Solleciti insoluti rette servizi scolastici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Verifica mancato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Sollecito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Iscrizione a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Vigilanza sull’adempimento dell’obbligo scolastico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Comunicazione dell'istituto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Comunicazione alla polizia locale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Fase di accertamento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01_02_01_01 Esito positivo: denuncia procura repubblica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405"/>
        <w:gridCol w:w="2086"/>
        <w:gridCol w:w="2652"/>
        <w:gridCol w:w="1669"/>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Servizi Demografici ed elettorale</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Accertamento dimora abituale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3,54</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Segnalazione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 Ufficiale di anagrafe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Indagini per accertamenti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Comunicazione all'interessato di fornire notizie e chiarimenti necessari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Valutazione da parte dell'ufficiale di anagrafe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Autorizzazione contrassegno disabili (rilascio e/o rinnovo/duplicato)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Verifica requisiti e documentazione medica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01_03 Redazione autorizzazione </w:t>
            </w:r>
            <w:r>
              <w:rPr>
                <w:rFonts w:eastAsia="Times New Roman"/>
              </w:rPr>
              <w:lastRenderedPageBreak/>
              <w:t>autorizzazione e predisposizione contrassegno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Rilascio autorizzazione e contrassegno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Cancellazione anagrafica per mancato rinnovo dichiarazione dimora abituale extracomunitari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Estrazione elenco dall'anagrafe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organizzativa/Ufficiale di anagrafe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Invito a presentare nuova dichiarazione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Avvio procedimento di cancellazione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Per mancanza del permesso di soggiorno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 mancanza di nuova presentazione entro un anno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Notifica da parte del messo comunale ex art 140 c.p.c.</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Comunicazione ai vari uffici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Cancellazione anagrafica per morte (su comunicazione dello stato civile)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Segnalazione (casa di cura, pompe funebri,...)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completezza della documentazione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Redazione atto di morte e rilascio autorizzazioni al trasporto/sepoltura/...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Compilazione della scheda di morte (mod. ISTAT)</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Comunicazione del decesso dallo stato civile tramite il software demografico e contestuale comunicazione all'INPS tramite INA SAIA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Cancellazione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Cancellazione presidenti di seggio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Comunicazione di rinuncia alla funzione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Verbale dell'ufficio elettorale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alla Corte d'appello del verbale approvato per convalida decisione adottata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Cancellazione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Cancellazione scrutatori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01_02_01 Redazione verbale di cancellazione da parte della commissione elettorale comunale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Cancellazione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Cittadinanze - Riconoscimento cittadinanza italiana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Decreto del Presidente della Repubblica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Atto di nascita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Notifica al soggetto in questione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Giuramento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Registrazione degli atti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Trascrizione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Verifica da parte dell'Ufficiale di stato civile della sussistenza della prole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01_06_01 Esito positivo: riconoscimento della cittadinanza anche alla prole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Iter procedimenti controllo/sanzioni polizia mortuaria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Iniziativa di parte/ ufficio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Relazione di sopralluogo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Fase di valutazione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Presupposti per una sanzione amministrativa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01_04_01_01 Compilazione verbale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 Presupposti per una sanzione penale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01_04_02_01 Comunicazione alla procura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Ricorsi avverso procedimenti sanzionatori polizia mortuaria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I - affari legali e contenzioso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3,95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comunicazione da chi riceve il ricorso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Produzione scritti difensivi e invio comunicazione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Accoglimento del ricorso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1_3_1 Modifiche secondo disposizioni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Rigetto del ricorso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Pagamento non effettuato entro 5 o 60 gg.</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01_04_01_01 Se necessario, formalizzare il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01_04_01_02 Creazione determina con software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 Pagamento effettuato entro 5 o 60 gg.</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01_04_02_01 Ricezione bollettino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01_04_02_02 Inserimento dati del bollettino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01_04_02_03 Archiviazione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379"/>
        <w:gridCol w:w="2270"/>
        <w:gridCol w:w="1871"/>
        <w:gridCol w:w="1570"/>
        <w:gridCol w:w="1743"/>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tecnico manutentivo e patrimoniale</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Acquisizione beni immobili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B - affidamento di lavori servizi e forniture</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4,37</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 all'agenzia delle entrate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Stima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Il Consiglio comunale autorizza l'acquisto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Avvio all'acquisizione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Alienazione ed altre forme di dismissione beni immobili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F - gestione delle entrate delle spese e del patrimonio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Previsione piano dismissioni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Perizia di stima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Predisposizione Bando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Ricezione Offerte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Commissione valutazione offerte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Aggiudicazione e rogito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Autorizzazione per gare sportive/manifestazioni su strada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2,66666666666667</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Verifica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Acquisizione eventuali pareri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Redazione e rilascio 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Cessione di fabbricato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denuncia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Verifica rispetto della normativa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Presa d'atto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Concessione fabbricati e terreni comunali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01_03 Sub-assegnazione al </w:t>
            </w:r>
            <w:r>
              <w:rPr>
                <w:rFonts w:eastAsia="Times New Roman"/>
              </w:rPr>
              <w:lastRenderedPageBreak/>
              <w:t>responsabile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atto d'indirizzo giunta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Invio all'ufficio amministrativo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Concessione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Concessione in uso beni mobili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 procedimento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atto d'indennizzo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Invio all'ufficio amministrativo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Concessione in comodato d'uso da parte dell’ufficio contratti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Iter procedimenti controllo/sanzioni polizia mortuaria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AREA G - controlli, verifiche, </w:t>
            </w:r>
            <w:r>
              <w:rPr>
                <w:rFonts w:eastAsia="Times New Roman"/>
              </w:rPr>
              <w:lastRenderedPageBreak/>
              <w:t>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lastRenderedPageBreak/>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Iniziativa di parte/ ufficio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Relazione di sopralluogo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Fase di valutazione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Presupposti per una sanzione amministrativa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01_04_01_01 Compilazione verbale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 Presupposti per una sanzione penale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01_04_02_01 Comunicazione alla procura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Occupazione suolo pubblico permanente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Calcolo imposta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Autorizzazione e bollette di pagamento all’Istante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Occupazione suolo pubblico temporanea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tributi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Quantificazione dell'importo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Comunicazione all'istante dell'importo da pagare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Deposito da parte dell'istante della ricevuta di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Rilascio dell'autorizzazione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Ricorsi avverso procedimenti sanzionatori polizia mortuaria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I - affari legali e contenzioso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3,16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3,95</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Ricezione comunicazione da chi riceve il ricorso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Produzione scritti difensivi e invio comunicazione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Accoglimento del ricorso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1_3_1 Modifiche secondo disposizioni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Rigetto del ricorso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Pagamento non effettuato entro 5 o 60 gg.</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01_04_01_01 Se necessario, formalizzare il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01_04_01_02 Creazione determina con software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01_04_02 Pagamento </w:t>
            </w:r>
            <w:r>
              <w:rPr>
                <w:rFonts w:eastAsia="Times New Roman"/>
              </w:rPr>
              <w:lastRenderedPageBreak/>
              <w:t>effettuato entro 5 o 60 gg.</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01_04_02_01 Ricezione bollettino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01_04_02_02 Inserimento dati del bollettino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01_04_02_03 Archiviazione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tbl>
      <w:tblPr>
        <w:tblW w:w="5000" w:type="pct"/>
        <w:tblCellSpacing w:w="0" w:type="dxa"/>
        <w:tblCellMar>
          <w:left w:w="0" w:type="dxa"/>
          <w:right w:w="0" w:type="dxa"/>
        </w:tblCellMar>
        <w:tblLook w:val="04A0" w:firstRow="1" w:lastRow="0" w:firstColumn="1" w:lastColumn="0" w:noHBand="0" w:noVBand="1"/>
      </w:tblPr>
      <w:tblGrid>
        <w:gridCol w:w="1456"/>
        <w:gridCol w:w="2422"/>
        <w:gridCol w:w="2239"/>
        <w:gridCol w:w="1695"/>
        <w:gridCol w:w="1021"/>
        <w:gridCol w:w="751"/>
        <w:gridCol w:w="604"/>
      </w:tblGrid>
      <w:tr w:rsidR="005410EE">
        <w:trPr>
          <w:tblCellSpacing w:w="0" w:type="dxa"/>
        </w:trPr>
        <w:tc>
          <w:tcPr>
            <w:tcW w:w="0" w:type="auto"/>
            <w:tcBorders>
              <w:top w:val="single" w:sz="6" w:space="0" w:color="auto"/>
              <w:left w:val="single" w:sz="6" w:space="0" w:color="auto"/>
              <w:right w:val="single" w:sz="6" w:space="0" w:color="auto"/>
            </w:tcBorders>
            <w:vAlign w:val="center"/>
            <w:hideMark/>
          </w:tcPr>
          <w:p w:rsidR="005410EE" w:rsidRDefault="005410EE" w:rsidP="005410EE">
            <w:pPr>
              <w:spacing w:before="60" w:after="60" w:line="240" w:lineRule="auto"/>
              <w:rPr>
                <w:rFonts w:ascii="Times New Roman" w:eastAsia="Times New Roman" w:hAnsi="Times New Roman"/>
                <w:sz w:val="24"/>
                <w:szCs w:val="24"/>
              </w:rPr>
            </w:pPr>
            <w:r>
              <w:rPr>
                <w:rStyle w:val="Enfasigrassetto"/>
                <w:rFonts w:eastAsia="Times New Roman"/>
              </w:rPr>
              <w:t>Unità Organizzativa</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Procedimento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Fasi</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Style w:val="Enfasigrassetto"/>
                <w:rFonts w:eastAsia="Times New Roman"/>
              </w:rPr>
              <w:t>Area di rischio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Probabilità</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Impatto</w:t>
            </w:r>
          </w:p>
        </w:tc>
        <w:tc>
          <w:tcPr>
            <w:tcW w:w="0" w:type="auto"/>
            <w:tcBorders>
              <w:top w:val="single" w:sz="6" w:space="0" w:color="auto"/>
              <w:bottom w:val="single" w:sz="6" w:space="0" w:color="auto"/>
              <w:right w:val="single" w:sz="6" w:space="0" w:color="auto"/>
            </w:tcBorders>
            <w:vAlign w:val="center"/>
            <w:hideMark/>
          </w:tcPr>
          <w:p w:rsidR="005410EE" w:rsidRDefault="005410EE" w:rsidP="005410EE">
            <w:pPr>
              <w:spacing w:before="60" w:after="60" w:line="240" w:lineRule="auto"/>
              <w:jc w:val="center"/>
              <w:rPr>
                <w:rFonts w:eastAsia="Times New Roman"/>
              </w:rPr>
            </w:pPr>
            <w:r>
              <w:rPr>
                <w:rStyle w:val="Enfasigrassetto"/>
                <w:rFonts w:eastAsia="Times New Roman"/>
              </w:rPr>
              <w:t>Livello</w:t>
            </w:r>
          </w:p>
        </w:tc>
      </w:tr>
      <w:tr w:rsidR="005410EE">
        <w:trPr>
          <w:tblCellSpacing w:w="0" w:type="dxa"/>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rPr>
            </w:pPr>
            <w:r>
              <w:rPr>
                <w:rFonts w:eastAsia="Times New Roman"/>
              </w:rPr>
              <w:t>Ufficio Commercio e attività produttive (SUAP)</w:t>
            </w: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Affitto di poltrona, cabina o postazione per acconciatori, barbieri, parrucchieri, estetisti e tatuatori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Segnalazione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tecnico per conoscenza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Notifica all' ASL per conoscenza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Comunicazione all'Ufficio tributi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Registrazione a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Autorizzazione fochino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della domanda al SUAP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Verifica dei requisiti e sussistenza del nulla osta rilasciato dalla prefettura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Rilascio della licenza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Alla licenza va allegato l'originale del nulla osta della prefettura e l'attestato di capacità tecnica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Autorizzazione per l'inizio dell'attività, modifica della sede, dei locali, del ciclo produttivo e degli aspetti merceologici di una media/grande struttura di </w:t>
            </w:r>
            <w:r>
              <w:rPr>
                <w:rFonts w:eastAsia="Times New Roman"/>
              </w:rPr>
              <w:lastRenderedPageBreak/>
              <w:t>vendita alimentare e non alimentare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Richiesta eventuale di integrazione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Rilascio provvedimento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Bando nuovi posteggi mercato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Predisposizione Bando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Ricezione domande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Formazione graduatoria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Assegnazione posteggi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Comunicazione all'aggiudicatario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Comunicazione alla polizia locale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01_08_01 Verifica assegnazione posti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Commercio su aree pubbliche in forma itinerante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Rilascio 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Distributori automatici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tecnico per conoscenza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Eventuale comunicazione alle autorità competenti e alla prefettura nei casi previsti dalla legge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Rilascio 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Registrazione a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Installazione videogiochi o apparecchi per il gioco lecito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Richiesta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tecnico per conoscenza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Rilascio 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Registrazione a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Licenza per l'apertura di locali di pubblico spettacolo e/o intrattenimento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della domanda al SUAP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a campione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tecnico per conoscenza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Comunicazione all'Ufficio tributi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Comunicazione alla Prefettura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Convocazione commissione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01_07_01 Commissione C.P.V.L.P.S per gli enti grandi ( es. Gardaland)</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01_07_02 Commissione comunale per gli enti minori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Verbale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01_09 Rilascio 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Manifestazioni di sorte locale (tombole, lotterie, pesche di beneficenza)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della domanda al SUAP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a campione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tecnico per conoscenza alla polizia locale e all'ufficio tributi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Registrazione a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Occupazione suolo pubblico temporanea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Istanza di parte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tributi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Quantificazione dell'importo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Comunicazione all'istante dell'importo da pagare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Deposito da parte dell'istante della ricevuta di pagamento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Rilascio dell'autorizzazione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Parafarmacie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C - provvedimenti ampliativi sfera giuridica privi effetto economico diretto</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2,6</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Istanza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Verifica dei requisiti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 Invio all'ufficio tecnico e alla polizia locale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01_04_01 Istruttoria e relazione tecnica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01_05 Ricezione del parere della polizia locale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01_06 Comunicazione all'ufficio tributi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01_07 Registrazione a ruolo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01_08 Comunicazione all'Agenzia Italiana del Farmaco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val="restart"/>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Spettacoli pirotecnici, fuochi d'artificio</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AREA G - controlli, verifiche, ispezioni e sanzioni</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2,83</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1,25</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3,53</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 Presentazione della domanda al SUAP</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01_01_01 Alla domanda deve essere allegata la documentazione e devono essere specificate le condizioni operative</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01_02 Valutazione del responsabile dell'unità organizzativa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 Sub-assegnazione al responsabile dell'istruttoria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01_03_01 Fase di verifica dei requisiti e della correttezza della domanda</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r w:rsidR="005410EE">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vMerge/>
            <w:tcBorders>
              <w:bottom w:val="single" w:sz="6" w:space="0" w:color="auto"/>
              <w:right w:val="single" w:sz="6" w:space="0" w:color="auto"/>
            </w:tcBorders>
            <w:vAlign w:val="center"/>
            <w:hideMark/>
          </w:tcPr>
          <w:p w:rsidR="005410EE" w:rsidRDefault="005410EE" w:rsidP="005410EE">
            <w:pPr>
              <w:spacing w:before="60" w:after="60" w:line="240" w:lineRule="auto"/>
              <w:rPr>
                <w:rFonts w:eastAsia="Times New Roman"/>
                <w:sz w:val="24"/>
                <w:szCs w:val="24"/>
              </w:rPr>
            </w:pP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t xml:space="preserve">01_04 Rilascio autorizzazione e tempestiva </w:t>
            </w:r>
            <w:r>
              <w:rPr>
                <w:rFonts w:eastAsia="Times New Roman"/>
              </w:rPr>
              <w:lastRenderedPageBreak/>
              <w:t>comunicazione alla stazione dei carabinieri</w:t>
            </w:r>
          </w:p>
        </w:tc>
        <w:tc>
          <w:tcPr>
            <w:tcW w:w="0" w:type="auto"/>
            <w:tcBorders>
              <w:bottom w:val="single" w:sz="6" w:space="0" w:color="auto"/>
              <w:right w:val="single" w:sz="6" w:space="0" w:color="auto"/>
            </w:tcBorders>
            <w:hideMark/>
          </w:tcPr>
          <w:p w:rsidR="005410EE" w:rsidRDefault="005410EE" w:rsidP="005410EE">
            <w:pPr>
              <w:spacing w:before="60" w:after="60" w:line="240" w:lineRule="auto"/>
              <w:rPr>
                <w:rFonts w:eastAsia="Times New Roman"/>
              </w:rPr>
            </w:pPr>
            <w:r>
              <w:rPr>
                <w:rFonts w:eastAsia="Times New Roman"/>
              </w:rPr>
              <w:lastRenderedPageBreak/>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c>
          <w:tcPr>
            <w:tcW w:w="0" w:type="auto"/>
            <w:tcBorders>
              <w:bottom w:val="single" w:sz="6" w:space="0" w:color="auto"/>
              <w:right w:val="single" w:sz="6" w:space="0" w:color="auto"/>
            </w:tcBorders>
            <w:hideMark/>
          </w:tcPr>
          <w:p w:rsidR="005410EE" w:rsidRDefault="005410EE" w:rsidP="005410EE">
            <w:pPr>
              <w:spacing w:before="60" w:after="60" w:line="240" w:lineRule="auto"/>
              <w:jc w:val="center"/>
              <w:rPr>
                <w:rFonts w:eastAsia="Times New Roman"/>
              </w:rPr>
            </w:pPr>
            <w:r>
              <w:rPr>
                <w:rFonts w:eastAsia="Times New Roman"/>
              </w:rPr>
              <w:t>/</w:t>
            </w:r>
          </w:p>
        </w:tc>
      </w:tr>
    </w:tbl>
    <w:p w:rsidR="005410EE" w:rsidRDefault="005410EE" w:rsidP="005410EE">
      <w:pPr>
        <w:pStyle w:val="NormaleWeb"/>
        <w:spacing w:before="60" w:beforeAutospacing="0" w:after="60" w:afterAutospacing="0"/>
        <w:rPr>
          <w:rFonts w:ascii="Verdana" w:hAnsi="Verdana"/>
          <w:sz w:val="15"/>
          <w:szCs w:val="15"/>
        </w:rPr>
      </w:pPr>
      <w:r>
        <w:rPr>
          <w:rFonts w:ascii="Verdana" w:hAnsi="Verdana"/>
          <w:sz w:val="15"/>
          <w:szCs w:val="15"/>
        </w:rPr>
        <w:t> </w:t>
      </w:r>
    </w:p>
    <w:p w:rsidR="005410EE" w:rsidRDefault="005410EE" w:rsidP="005410EE">
      <w:pPr>
        <w:pStyle w:val="NormaleWeb"/>
        <w:spacing w:before="60" w:beforeAutospacing="0" w:after="60" w:afterAutospacing="0"/>
        <w:jc w:val="center"/>
      </w:pPr>
      <w:r>
        <w:rPr>
          <w:rStyle w:val="Enfasigrassetto"/>
        </w:rPr>
        <w:t> </w:t>
      </w:r>
    </w:p>
    <w:p w:rsidR="005410EE" w:rsidRDefault="005410EE" w:rsidP="005410EE">
      <w:pPr>
        <w:pStyle w:val="NormaleWeb"/>
        <w:spacing w:before="60" w:beforeAutospacing="0" w:after="60" w:afterAutospacing="0"/>
        <w:jc w:val="center"/>
      </w:pPr>
      <w:r>
        <w:t> </w:t>
      </w:r>
    </w:p>
    <w:p w:rsidR="005410EE" w:rsidRDefault="005410EE" w:rsidP="005410EE">
      <w:pPr>
        <w:spacing w:before="60" w:after="60" w:line="240" w:lineRule="auto"/>
        <w:rPr>
          <w:rFonts w:eastAsia="Times New Roman"/>
        </w:rPr>
      </w:pPr>
    </w:p>
    <w:p w:rsidR="0070256C" w:rsidRPr="00D91D6F" w:rsidRDefault="0070256C" w:rsidP="005410EE">
      <w:pPr>
        <w:spacing w:before="60" w:after="60" w:line="240" w:lineRule="auto"/>
        <w:jc w:val="both"/>
        <w:rPr>
          <w:rFonts w:ascii="Verdana" w:hAnsi="Verdana"/>
          <w:sz w:val="18"/>
          <w:szCs w:val="18"/>
        </w:rPr>
      </w:pPr>
    </w:p>
    <w:sectPr w:rsidR="0070256C" w:rsidRPr="00D91D6F" w:rsidSect="005410EE">
      <w:headerReference w:type="default" r:id="rId6"/>
      <w:footerReference w:type="default" r:id="rId7"/>
      <w:pgSz w:w="16838" w:h="11906" w:orient="landscape"/>
      <w:pgMar w:top="851" w:right="3402" w:bottom="851" w:left="851" w:header="284"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EE" w:rsidRDefault="005410EE" w:rsidP="009B0580">
      <w:pPr>
        <w:spacing w:after="0" w:line="240" w:lineRule="auto"/>
      </w:pPr>
      <w:r>
        <w:separator/>
      </w:r>
    </w:p>
  </w:endnote>
  <w:endnote w:type="continuationSeparator" w:id="0">
    <w:p w:rsidR="005410EE" w:rsidRDefault="005410EE" w:rsidP="009B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721 BdOul BT">
    <w:altName w:val="Courier New"/>
    <w:charset w:val="00"/>
    <w:family w:val="decorative"/>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80" w:rsidRPr="00CC7AA3" w:rsidRDefault="009B0580" w:rsidP="00CC7AA3">
    <w:pPr>
      <w:pStyle w:val="Pidipagina"/>
      <w:spacing w:after="120"/>
      <w:jc w:val="center"/>
      <w:rPr>
        <w:rFonts w:ascii="Verdana" w:eastAsia="Arial" w:hAnsi="Verdana" w:cs="Arial"/>
        <w:spacing w:val="-24"/>
        <w:w w:val="110"/>
        <w:sz w:val="14"/>
        <w:szCs w:val="14"/>
      </w:rPr>
    </w:pPr>
    <w:r w:rsidRPr="00CC7AA3">
      <w:rPr>
        <w:rFonts w:ascii="Verdana" w:eastAsia="Arial" w:hAnsi="Verdana" w:cs="Arial"/>
        <w:spacing w:val="-24"/>
        <w:w w:val="110"/>
        <w:sz w:val="18"/>
        <w:szCs w:val="14"/>
      </w:rPr>
      <w:t xml:space="preserve">Pagina </w:t>
    </w:r>
    <w:r w:rsidRPr="00CC7AA3">
      <w:rPr>
        <w:rFonts w:ascii="Verdana" w:eastAsia="Arial" w:hAnsi="Verdana" w:cs="Arial"/>
        <w:spacing w:val="-24"/>
        <w:w w:val="110"/>
        <w:sz w:val="18"/>
        <w:szCs w:val="14"/>
      </w:rPr>
      <w:fldChar w:fldCharType="begin"/>
    </w:r>
    <w:r w:rsidRPr="00CC7AA3">
      <w:rPr>
        <w:rFonts w:ascii="Verdana" w:eastAsia="Arial" w:hAnsi="Verdana" w:cs="Arial"/>
        <w:spacing w:val="-24"/>
        <w:w w:val="110"/>
        <w:sz w:val="18"/>
        <w:szCs w:val="14"/>
      </w:rPr>
      <w:instrText>PAGE  \* Arabic  \* MERGEFORMAT</w:instrText>
    </w:r>
    <w:r w:rsidRPr="00CC7AA3">
      <w:rPr>
        <w:rFonts w:ascii="Verdana" w:eastAsia="Arial" w:hAnsi="Verdana" w:cs="Arial"/>
        <w:spacing w:val="-24"/>
        <w:w w:val="110"/>
        <w:sz w:val="18"/>
        <w:szCs w:val="14"/>
      </w:rPr>
      <w:fldChar w:fldCharType="separate"/>
    </w:r>
    <w:r w:rsidR="005410EE">
      <w:rPr>
        <w:rFonts w:ascii="Verdana" w:eastAsia="Arial" w:hAnsi="Verdana" w:cs="Arial"/>
        <w:noProof/>
        <w:spacing w:val="-24"/>
        <w:w w:val="110"/>
        <w:sz w:val="18"/>
        <w:szCs w:val="14"/>
      </w:rPr>
      <w:t>2</w:t>
    </w:r>
    <w:r w:rsidRPr="00CC7AA3">
      <w:rPr>
        <w:rFonts w:ascii="Verdana" w:eastAsia="Arial" w:hAnsi="Verdana" w:cs="Arial"/>
        <w:spacing w:val="-24"/>
        <w:w w:val="110"/>
        <w:sz w:val="18"/>
        <w:szCs w:val="14"/>
      </w:rPr>
      <w:fldChar w:fldCharType="end"/>
    </w:r>
    <w:r w:rsidRPr="00CC7AA3">
      <w:rPr>
        <w:rFonts w:ascii="Verdana" w:eastAsia="Arial" w:hAnsi="Verdana" w:cs="Arial"/>
        <w:spacing w:val="-24"/>
        <w:w w:val="110"/>
        <w:sz w:val="18"/>
        <w:szCs w:val="14"/>
      </w:rPr>
      <w:t xml:space="preserve"> di </w:t>
    </w:r>
    <w:r w:rsidRPr="00CC7AA3">
      <w:rPr>
        <w:rFonts w:ascii="Verdana" w:eastAsia="Arial" w:hAnsi="Verdana" w:cs="Arial"/>
        <w:spacing w:val="-24"/>
        <w:w w:val="110"/>
        <w:sz w:val="18"/>
        <w:szCs w:val="14"/>
      </w:rPr>
      <w:fldChar w:fldCharType="begin"/>
    </w:r>
    <w:r w:rsidRPr="00CC7AA3">
      <w:rPr>
        <w:rFonts w:ascii="Verdana" w:eastAsia="Arial" w:hAnsi="Verdana" w:cs="Arial"/>
        <w:spacing w:val="-24"/>
        <w:w w:val="110"/>
        <w:sz w:val="18"/>
        <w:szCs w:val="14"/>
      </w:rPr>
      <w:instrText>NUMPAGES  \* Arabic  \* MERGEFORMAT</w:instrText>
    </w:r>
    <w:r w:rsidRPr="00CC7AA3">
      <w:rPr>
        <w:rFonts w:ascii="Verdana" w:eastAsia="Arial" w:hAnsi="Verdana" w:cs="Arial"/>
        <w:spacing w:val="-24"/>
        <w:w w:val="110"/>
        <w:sz w:val="18"/>
        <w:szCs w:val="14"/>
      </w:rPr>
      <w:fldChar w:fldCharType="separate"/>
    </w:r>
    <w:r w:rsidR="005410EE">
      <w:rPr>
        <w:rFonts w:ascii="Verdana" w:eastAsia="Arial" w:hAnsi="Verdana" w:cs="Arial"/>
        <w:noProof/>
        <w:spacing w:val="-24"/>
        <w:w w:val="110"/>
        <w:sz w:val="18"/>
        <w:szCs w:val="14"/>
      </w:rPr>
      <w:t>53</w:t>
    </w:r>
    <w:r w:rsidRPr="00CC7AA3">
      <w:rPr>
        <w:rFonts w:ascii="Verdana" w:eastAsia="Arial" w:hAnsi="Verdana" w:cs="Arial"/>
        <w:spacing w:val="-24"/>
        <w:w w:val="110"/>
        <w:sz w:val="18"/>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EE" w:rsidRDefault="005410EE" w:rsidP="009B0580">
      <w:pPr>
        <w:spacing w:after="0" w:line="240" w:lineRule="auto"/>
      </w:pPr>
      <w:r>
        <w:separator/>
      </w:r>
    </w:p>
  </w:footnote>
  <w:footnote w:type="continuationSeparator" w:id="0">
    <w:p w:rsidR="005410EE" w:rsidRDefault="005410EE" w:rsidP="009B0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50"/>
      <w:gridCol w:w="7938"/>
    </w:tblGrid>
    <w:tr w:rsidR="00CC7AA3" w:rsidTr="00A21E42">
      <w:tc>
        <w:tcPr>
          <w:tcW w:w="1950" w:type="dxa"/>
          <w:shd w:val="clear" w:color="auto" w:fill="auto"/>
        </w:tcPr>
        <w:p w:rsidR="00CC7AA3" w:rsidRDefault="00CC7AA3" w:rsidP="00CC7AA3">
          <w:pPr>
            <w:pStyle w:val="Formale1"/>
            <w:snapToGrid w:val="0"/>
            <w:rPr>
              <w:rFonts w:ascii="Swis721 BdOul BT" w:hAnsi="Swis721 BdOul BT"/>
              <w:b/>
              <w:sz w:val="84"/>
            </w:rPr>
          </w:pPr>
          <w:r>
            <w:rPr>
              <w:noProof/>
              <w:lang w:eastAsia="it-IT"/>
            </w:rPr>
            <w:drawing>
              <wp:inline distT="0" distB="0" distL="0" distR="0">
                <wp:extent cx="948690" cy="1017905"/>
                <wp:effectExtent l="0" t="0" r="381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017905"/>
                        </a:xfrm>
                        <a:prstGeom prst="rect">
                          <a:avLst/>
                        </a:prstGeom>
                        <a:solidFill>
                          <a:srgbClr val="FFFFFF"/>
                        </a:solidFill>
                        <a:ln>
                          <a:noFill/>
                        </a:ln>
                      </pic:spPr>
                    </pic:pic>
                  </a:graphicData>
                </a:graphic>
              </wp:inline>
            </w:drawing>
          </w:r>
        </w:p>
      </w:tc>
      <w:tc>
        <w:tcPr>
          <w:tcW w:w="7938" w:type="dxa"/>
          <w:shd w:val="clear" w:color="auto" w:fill="auto"/>
        </w:tcPr>
        <w:p w:rsidR="00CC7AA3" w:rsidRDefault="00CC7AA3" w:rsidP="00CC7AA3">
          <w:pPr>
            <w:pStyle w:val="Formale1"/>
            <w:snapToGrid w:val="0"/>
            <w:spacing w:before="0" w:after="0"/>
            <w:jc w:val="center"/>
            <w:rPr>
              <w:rFonts w:ascii="Swis721 BdOul BT" w:hAnsi="Swis721 BdOul BT"/>
              <w:b/>
              <w:sz w:val="84"/>
            </w:rPr>
          </w:pPr>
          <w:r>
            <w:rPr>
              <w:rFonts w:ascii="Swis721 BdOul BT" w:hAnsi="Swis721 BdOul BT"/>
              <w:b/>
              <w:sz w:val="84"/>
            </w:rPr>
            <w:t>COMUNE di CEVO</w:t>
          </w:r>
        </w:p>
        <w:p w:rsidR="00CC7AA3" w:rsidRPr="00CC7AA3" w:rsidRDefault="00CC7AA3" w:rsidP="00CC7AA3">
          <w:pPr>
            <w:pStyle w:val="Formale1"/>
            <w:spacing w:before="0" w:after="0"/>
            <w:jc w:val="center"/>
            <w:rPr>
              <w:b/>
            </w:rPr>
          </w:pPr>
          <w:r>
            <w:rPr>
              <w:b/>
            </w:rPr>
            <w:t>Provincia di Brescia</w:t>
          </w:r>
        </w:p>
        <w:p w:rsidR="00CC7AA3" w:rsidRDefault="00CC7AA3" w:rsidP="00CC7AA3">
          <w:pPr>
            <w:pStyle w:val="Formale1"/>
            <w:spacing w:before="0" w:after="0"/>
            <w:jc w:val="center"/>
            <w:rPr>
              <w:b/>
              <w:i/>
              <w:sz w:val="28"/>
            </w:rPr>
          </w:pPr>
        </w:p>
      </w:tc>
    </w:tr>
    <w:tr w:rsidR="00CC7AA3" w:rsidTr="00A21E42">
      <w:tc>
        <w:tcPr>
          <w:tcW w:w="9888" w:type="dxa"/>
          <w:gridSpan w:val="2"/>
          <w:tcBorders>
            <w:bottom w:val="single" w:sz="8" w:space="0" w:color="000000"/>
          </w:tcBorders>
          <w:shd w:val="clear" w:color="auto" w:fill="auto"/>
        </w:tcPr>
        <w:p w:rsidR="00CC7AA3" w:rsidRDefault="00CC7AA3" w:rsidP="00CC7AA3">
          <w:pPr>
            <w:pStyle w:val="Formale1"/>
            <w:snapToGrid w:val="0"/>
            <w:jc w:val="center"/>
            <w:rPr>
              <w:rFonts w:ascii="Arial" w:hAnsi="Arial"/>
              <w:sz w:val="16"/>
            </w:rPr>
          </w:pPr>
          <w:r>
            <w:rPr>
              <w:rFonts w:ascii="Arial" w:hAnsi="Arial"/>
              <w:sz w:val="16"/>
            </w:rPr>
            <w:t>Via Roma, 22  CAP 25040 CEVO - tel.0364/634104 - fax 0364/634357  P.ta IVA 00592090989 - Cod. Fisc. 00959860172</w:t>
          </w:r>
        </w:p>
        <w:p w:rsidR="00CC7AA3" w:rsidRDefault="00CC7AA3" w:rsidP="00CC7AA3">
          <w:pPr>
            <w:pStyle w:val="Formale1"/>
            <w:jc w:val="center"/>
            <w:rPr>
              <w:rFonts w:ascii="Arial" w:hAnsi="Arial"/>
              <w:sz w:val="16"/>
            </w:rPr>
          </w:pPr>
          <w:r>
            <w:rPr>
              <w:rFonts w:ascii="Arial" w:hAnsi="Arial"/>
              <w:sz w:val="16"/>
            </w:rPr>
            <w:t>e-mail: info@comune.cevo.bs.it</w:t>
          </w:r>
        </w:p>
        <w:p w:rsidR="00CC7AA3" w:rsidRDefault="00CC7AA3" w:rsidP="00CC7AA3">
          <w:pPr>
            <w:pStyle w:val="Formale1"/>
            <w:jc w:val="center"/>
            <w:rPr>
              <w:rFonts w:ascii="Arial" w:hAnsi="Arial"/>
              <w:sz w:val="16"/>
            </w:rPr>
          </w:pPr>
          <w:r>
            <w:rPr>
              <w:rFonts w:ascii="Arial" w:hAnsi="Arial"/>
              <w:sz w:val="16"/>
            </w:rPr>
            <w:t>www.comune.cevo.bs.it</w:t>
          </w:r>
        </w:p>
      </w:tc>
    </w:tr>
  </w:tbl>
  <w:p w:rsidR="00CC7AA3" w:rsidRDefault="00CC7AA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18"/>
    <w:rsid w:val="000C2964"/>
    <w:rsid w:val="002F463D"/>
    <w:rsid w:val="004864E1"/>
    <w:rsid w:val="005410EE"/>
    <w:rsid w:val="005E5529"/>
    <w:rsid w:val="0070256C"/>
    <w:rsid w:val="007F580B"/>
    <w:rsid w:val="009B0580"/>
    <w:rsid w:val="00A022B4"/>
    <w:rsid w:val="00BC7796"/>
    <w:rsid w:val="00C07AF4"/>
    <w:rsid w:val="00CC7AA3"/>
    <w:rsid w:val="00D66918"/>
    <w:rsid w:val="00D91D6F"/>
    <w:rsid w:val="00E71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1476D3-59D8-4AE9-A7EC-D3ED3CB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05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0580"/>
  </w:style>
  <w:style w:type="paragraph" w:styleId="Pidipagina">
    <w:name w:val="footer"/>
    <w:basedOn w:val="Normale"/>
    <w:link w:val="PidipaginaCarattere"/>
    <w:uiPriority w:val="99"/>
    <w:unhideWhenUsed/>
    <w:rsid w:val="009B05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0580"/>
  </w:style>
  <w:style w:type="paragraph" w:styleId="Titolo">
    <w:name w:val="Title"/>
    <w:basedOn w:val="Normale"/>
    <w:link w:val="TitoloCarattere"/>
    <w:qFormat/>
    <w:rsid w:val="009B0580"/>
    <w:pPr>
      <w:spacing w:after="0" w:line="240" w:lineRule="auto"/>
      <w:jc w:val="center"/>
    </w:pPr>
    <w:rPr>
      <w:rFonts w:ascii="Times New Roman" w:eastAsia="Times New Roman" w:hAnsi="Times New Roman" w:cs="Times New Roman"/>
      <w:b/>
      <w:bCs/>
      <w:sz w:val="32"/>
      <w:szCs w:val="20"/>
      <w:lang w:eastAsia="it-IT"/>
    </w:rPr>
  </w:style>
  <w:style w:type="character" w:customStyle="1" w:styleId="TitoloCarattere">
    <w:name w:val="Titolo Carattere"/>
    <w:basedOn w:val="Carpredefinitoparagrafo"/>
    <w:link w:val="Titolo"/>
    <w:rsid w:val="009B0580"/>
    <w:rPr>
      <w:rFonts w:ascii="Times New Roman" w:eastAsia="Times New Roman" w:hAnsi="Times New Roman" w:cs="Times New Roman"/>
      <w:b/>
      <w:bCs/>
      <w:sz w:val="32"/>
      <w:szCs w:val="20"/>
      <w:lang w:eastAsia="it-IT"/>
    </w:rPr>
  </w:style>
  <w:style w:type="paragraph" w:customStyle="1" w:styleId="Formale1">
    <w:name w:val="Formale1"/>
    <w:basedOn w:val="Normale"/>
    <w:rsid w:val="00CC7AA3"/>
    <w:pPr>
      <w:suppressAutoHyphens/>
      <w:spacing w:before="60" w:after="60" w:line="240" w:lineRule="auto"/>
    </w:pPr>
    <w:rPr>
      <w:rFonts w:ascii="Times New Roman" w:eastAsia="Times New Roman" w:hAnsi="Times New Roman" w:cs="Times New Roman"/>
      <w:sz w:val="24"/>
      <w:szCs w:val="20"/>
      <w:lang w:eastAsia="ar-SA"/>
    </w:rPr>
  </w:style>
  <w:style w:type="paragraph" w:styleId="NormaleWeb">
    <w:name w:val="Normal (Web)"/>
    <w:basedOn w:val="Normale"/>
    <w:uiPriority w:val="99"/>
    <w:unhideWhenUsed/>
    <w:rsid w:val="005410EE"/>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541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6888</Words>
  <Characters>39268</Characters>
  <Application>Microsoft Office Word</Application>
  <DocSecurity>0</DocSecurity>
  <Lines>327</Lines>
  <Paragraphs>92</Paragraphs>
  <ScaleCrop>false</ScaleCrop>
  <Company/>
  <LinksUpToDate>false</LinksUpToDate>
  <CharactersWithSpaces>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2020-01-29T09:10:00Z</dcterms:created>
  <dcterms:modified xsi:type="dcterms:W3CDTF">2020-01-29T09:10:00Z</dcterms:modified>
</cp:coreProperties>
</file>