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44C3" w:rsidRDefault="00BA5E64">
      <w:pPr>
        <w:pStyle w:val="NormaleWeb"/>
        <w:jc w:val="center"/>
        <w:rPr>
          <w:rFonts w:ascii="Verdana" w:hAnsi="Verdana" w:cs="Verdana"/>
          <w:sz w:val="18"/>
        </w:rPr>
      </w:pPr>
      <w:r>
        <w:rPr>
          <w:rFonts w:ascii="Verdana" w:hAnsi="Verdana" w:cs="Verdana"/>
          <w:b/>
          <w:sz w:val="27"/>
        </w:rPr>
        <w:t>Linee guida per la gestione dei fascicoli</w:t>
      </w:r>
      <w:r>
        <w:br/>
      </w:r>
      <w:r>
        <w:rPr>
          <w:rFonts w:ascii="Verdana" w:hAnsi="Verdana" w:cs="Verdana"/>
          <w:b/>
          <w:sz w:val="27"/>
        </w:rPr>
        <w:t>e aggregazioni informatiche</w:t>
      </w:r>
    </w:p>
    <w:p w:rsidR="006B44C3" w:rsidRDefault="00BA5E64">
      <w:pPr>
        <w:pStyle w:val="NormaleWeb"/>
      </w:pPr>
      <w:r>
        <w:t> </w:t>
      </w:r>
    </w:p>
    <w:p w:rsidR="006B44C3" w:rsidRDefault="00BA5E64">
      <w:pPr>
        <w:pStyle w:val="NormaleWeb"/>
      </w:pPr>
      <w:r>
        <w:rPr>
          <w:rFonts w:ascii="Verdana" w:hAnsi="Verdana" w:cs="Verdana"/>
          <w:b/>
          <w:sz w:val="18"/>
        </w:rPr>
        <w:t>1. La fascicolazione: descrizione e finalità</w:t>
      </w:r>
    </w:p>
    <w:p w:rsidR="006B44C3" w:rsidRDefault="00BA5E64">
      <w:pPr>
        <w:pStyle w:val="NormaleWeb"/>
        <w:jc w:val="both"/>
      </w:pPr>
      <w:r>
        <w:rPr>
          <w:rFonts w:ascii="Verdana" w:hAnsi="Verdana" w:cs="Verdana"/>
          <w:sz w:val="18"/>
        </w:rPr>
        <w:t xml:space="preserve">La fascicolazione è un’attività strategica per la gestione documentale e per la corretta archiviazione dei documenti all’interno del </w:t>
      </w:r>
      <w:r>
        <w:rPr>
          <w:rFonts w:ascii="Verdana" w:hAnsi="Verdana" w:cs="Verdana"/>
          <w:sz w:val="18"/>
        </w:rPr>
        <w:t>sistema di gestione documentale. Essa consiste nel riunire in un’unica entità (il fascicolo) i documenti riguardanti uno stesso procedimento amministrativo/affare, o riferiti a una stessa attività, a una persona fisica o giuridica, nel completare le operaz</w:t>
      </w:r>
      <w:r>
        <w:rPr>
          <w:rFonts w:ascii="Verdana" w:hAnsi="Verdana" w:cs="Verdana"/>
          <w:sz w:val="18"/>
        </w:rPr>
        <w:t>ioni di registrazione e classificazione dei documenti e nell’organizzare i documenti prodotti e ricevuti dall’Unione</w:t>
      </w:r>
      <w:r>
        <w:rPr>
          <w:rFonts w:ascii="Verdana" w:hAnsi="Verdana" w:cs="Verdana"/>
          <w:sz w:val="18"/>
        </w:rPr>
        <w:t>. La formazione dei fascicoli e delle altre aggregazioni di documenti è strettamente legata allo svolgimento quotidiano dell’attività amminis</w:t>
      </w:r>
      <w:r>
        <w:rPr>
          <w:rFonts w:ascii="Verdana" w:hAnsi="Verdana" w:cs="Verdana"/>
          <w:sz w:val="18"/>
        </w:rPr>
        <w:t>trativa, in quanto esiste un rapporto di causa-effetto tra la gestione del procedimento amministrativo e il fascicolo, il quale a sua volta è strumento della concreta azione amministrativa. Per fascicolazione si intende l’inserimento del documento in un ap</w:t>
      </w:r>
      <w:r>
        <w:rPr>
          <w:rFonts w:ascii="Verdana" w:hAnsi="Verdana" w:cs="Verdana"/>
          <w:sz w:val="18"/>
        </w:rPr>
        <w:t>posito fascicolo. La creazione di un fascicolo va fatta soltanto nel momento in cui perviene un primo documento che ne richiede la creazione. I fascicoli devono essere strettamente collegati ai Procedimenti/Affari/Attività svolti dai diversi uffici produtt</w:t>
      </w:r>
      <w:r>
        <w:rPr>
          <w:rFonts w:ascii="Verdana" w:hAnsi="Verdana" w:cs="Verdana"/>
          <w:sz w:val="18"/>
        </w:rPr>
        <w:t>ori.</w:t>
      </w:r>
    </w:p>
    <w:p w:rsidR="006B44C3" w:rsidRDefault="00BA5E64">
      <w:pPr>
        <w:pStyle w:val="NormaleWeb"/>
        <w:jc w:val="both"/>
      </w:pPr>
      <w:r>
        <w:rPr>
          <w:rFonts w:ascii="Verdana" w:hAnsi="Verdana" w:cs="Verdana"/>
          <w:sz w:val="18"/>
        </w:rPr>
        <w:t>Per l’individuazione delle tipologie di fascicolo all’interno dell'Ente si è scelto di utilizzare le seguenti definizioni tradizionali di fascicolo archivistico:</w:t>
      </w:r>
    </w:p>
    <w:p w:rsidR="006B44C3" w:rsidRDefault="00BA5E64">
      <w:pPr>
        <w:pStyle w:val="NormaleWeb"/>
        <w:jc w:val="both"/>
      </w:pPr>
      <w:r>
        <w:rPr>
          <w:rFonts w:ascii="Verdana" w:hAnsi="Verdana" w:cs="Verdana"/>
          <w:sz w:val="18"/>
        </w:rPr>
        <w:t xml:space="preserve">• Il </w:t>
      </w:r>
      <w:r>
        <w:rPr>
          <w:rFonts w:ascii="Verdana" w:hAnsi="Verdana" w:cs="Verdana"/>
          <w:sz w:val="18"/>
          <w:u w:val="single"/>
        </w:rPr>
        <w:t>fascicolo per procedimento</w:t>
      </w:r>
      <w:r>
        <w:rPr>
          <w:rFonts w:ascii="Verdana" w:hAnsi="Verdana" w:cs="Verdana"/>
          <w:sz w:val="18"/>
        </w:rPr>
        <w:t xml:space="preserve"> comprende i documenti, recanti tutti la medesima classifi</w:t>
      </w:r>
      <w:r>
        <w:rPr>
          <w:rFonts w:ascii="Verdana" w:hAnsi="Verdana" w:cs="Verdana"/>
          <w:sz w:val="18"/>
        </w:rPr>
        <w:t>ca, prodotti da uno o più uffici per la trattazione di un procedimento. Ogni fascicolo si riferisce ad un procedimento amministrativo specifico e concreto e si chiude con la conclusione del procedimento stesso. Ha quindi una data di apertura, una durata ci</w:t>
      </w:r>
      <w:r>
        <w:rPr>
          <w:rFonts w:ascii="Verdana" w:hAnsi="Verdana" w:cs="Verdana"/>
          <w:sz w:val="18"/>
        </w:rPr>
        <w:t>rcoscritta ed una data di chiusura.</w:t>
      </w:r>
    </w:p>
    <w:p w:rsidR="006B44C3" w:rsidRDefault="00BA5E64">
      <w:pPr>
        <w:pStyle w:val="NormaleWeb"/>
        <w:jc w:val="both"/>
      </w:pPr>
      <w:r>
        <w:rPr>
          <w:rFonts w:ascii="Verdana" w:hAnsi="Verdana" w:cs="Verdana"/>
          <w:sz w:val="18"/>
        </w:rPr>
        <w:t xml:space="preserve">• Il </w:t>
      </w:r>
      <w:r>
        <w:rPr>
          <w:rFonts w:ascii="Verdana" w:hAnsi="Verdana" w:cs="Verdana"/>
          <w:sz w:val="18"/>
          <w:u w:val="single"/>
        </w:rPr>
        <w:t>fascicolo per affare</w:t>
      </w:r>
      <w:r>
        <w:rPr>
          <w:rFonts w:ascii="Verdana" w:hAnsi="Verdana" w:cs="Verdana"/>
          <w:sz w:val="18"/>
        </w:rPr>
        <w:t xml:space="preserve"> comprende i documenti, recanti tutti la medesima classifica, prodotti da uno o più uffici per la trattazione di un affare. Ha le medesime caratteristiche del fascicolo per procedimento, ma essen</w:t>
      </w:r>
      <w:r>
        <w:rPr>
          <w:rFonts w:ascii="Verdana" w:hAnsi="Verdana" w:cs="Verdana"/>
          <w:sz w:val="18"/>
        </w:rPr>
        <w:t>do relativo ad un affare non si chiude mai con un atto finale, né in tempi predeterminati.</w:t>
      </w:r>
    </w:p>
    <w:p w:rsidR="006B44C3" w:rsidRDefault="00BA5E64">
      <w:pPr>
        <w:pStyle w:val="NormaleWeb"/>
        <w:jc w:val="both"/>
      </w:pPr>
      <w:r>
        <w:rPr>
          <w:rFonts w:ascii="Verdana" w:hAnsi="Verdana" w:cs="Verdana"/>
          <w:sz w:val="18"/>
        </w:rPr>
        <w:t xml:space="preserve">• Il </w:t>
      </w:r>
      <w:r>
        <w:rPr>
          <w:rFonts w:ascii="Verdana" w:hAnsi="Verdana" w:cs="Verdana"/>
          <w:sz w:val="18"/>
          <w:u w:val="single"/>
        </w:rPr>
        <w:t>fascicolo per attività</w:t>
      </w:r>
      <w:r>
        <w:rPr>
          <w:rFonts w:ascii="Verdana" w:hAnsi="Verdana" w:cs="Verdana"/>
          <w:sz w:val="18"/>
        </w:rPr>
        <w:t xml:space="preserve"> comprende i documenti prodotti nello svolgimento di un’attività amministrativa semplice, non discrezionale e ripetitiva, che si esaurisce</w:t>
      </w:r>
      <w:r>
        <w:rPr>
          <w:rFonts w:ascii="Verdana" w:hAnsi="Verdana" w:cs="Verdana"/>
          <w:sz w:val="18"/>
        </w:rPr>
        <w:t xml:space="preserve"> in risposte obbligate o meri adempimenti. La sua chiusura è periodica, tendenzialmente annuale, salvo diverse esigenze gestionali.</w:t>
      </w:r>
    </w:p>
    <w:p w:rsidR="006B44C3" w:rsidRDefault="00BA5E64">
      <w:pPr>
        <w:pStyle w:val="NormaleWeb"/>
        <w:jc w:val="both"/>
      </w:pPr>
      <w:r>
        <w:rPr>
          <w:rFonts w:ascii="Verdana" w:hAnsi="Verdana" w:cs="Verdana"/>
          <w:sz w:val="18"/>
        </w:rPr>
        <w:t xml:space="preserve">• Il </w:t>
      </w:r>
      <w:r>
        <w:rPr>
          <w:rFonts w:ascii="Verdana" w:hAnsi="Verdana" w:cs="Verdana"/>
          <w:sz w:val="18"/>
          <w:u w:val="single"/>
        </w:rPr>
        <w:t>fascicolo nominativo</w:t>
      </w:r>
      <w:r>
        <w:rPr>
          <w:rFonts w:ascii="Verdana" w:hAnsi="Verdana" w:cs="Verdana"/>
          <w:sz w:val="18"/>
        </w:rPr>
        <w:t xml:space="preserve">, ossia per persona fisica o giuridica comprende tutti i documenti, anche con classifiche diverse, </w:t>
      </w:r>
      <w:r>
        <w:rPr>
          <w:rFonts w:ascii="Verdana" w:hAnsi="Verdana" w:cs="Verdana"/>
          <w:sz w:val="18"/>
        </w:rPr>
        <w:t>che si riferiscono a una persona fisica o giuridica. Si tratta di fascicolo permanente, attivo fino quando è ‘attiva’ la persona a cui è intestato.</w:t>
      </w:r>
    </w:p>
    <w:p w:rsidR="006B44C3" w:rsidRDefault="00BA5E64">
      <w:pPr>
        <w:pStyle w:val="NormaleWeb"/>
        <w:jc w:val="both"/>
      </w:pPr>
      <w:r>
        <w:rPr>
          <w:rFonts w:ascii="Verdana" w:hAnsi="Verdana" w:cs="Verdana"/>
          <w:sz w:val="18"/>
        </w:rPr>
        <w:t>Per aggregare i documenti che non si riferiscono ad un Procedimento/Affare/Attività saranno aperti fascicoli</w:t>
      </w:r>
      <w:r>
        <w:rPr>
          <w:rFonts w:ascii="Verdana" w:hAnsi="Verdana" w:cs="Verdana"/>
          <w:sz w:val="18"/>
        </w:rPr>
        <w:t xml:space="preserve"> per materia, con chiusura periodica e costituiti da documenti con medesima classificazione.</w:t>
      </w:r>
    </w:p>
    <w:p w:rsidR="006B44C3" w:rsidRDefault="00BA5E64">
      <w:pPr>
        <w:pStyle w:val="NormaleWeb"/>
      </w:pPr>
      <w:r>
        <w:rPr>
          <w:rFonts w:ascii="Verdana" w:hAnsi="Verdana" w:cs="Verdana"/>
          <w:b/>
          <w:sz w:val="18"/>
        </w:rPr>
        <w:t>2. Tipologie di fascicoli nel sistema di gestione documentale dell’Unione dei Comuni della Valsaviore</w:t>
      </w:r>
    </w:p>
    <w:p w:rsidR="006B44C3" w:rsidRDefault="00BA5E64">
      <w:pPr>
        <w:pStyle w:val="NormaleWeb"/>
        <w:jc w:val="both"/>
      </w:pPr>
      <w:r>
        <w:rPr>
          <w:rFonts w:ascii="Verdana" w:hAnsi="Verdana" w:cs="Verdana"/>
          <w:sz w:val="18"/>
        </w:rPr>
        <w:t xml:space="preserve">Il sistema di gestione documentale consente la gestione informatica dei fascicoli e delle </w:t>
      </w:r>
      <w:r>
        <w:rPr>
          <w:rFonts w:ascii="Verdana" w:hAnsi="Verdana" w:cs="Verdana"/>
          <w:sz w:val="18"/>
        </w:rPr>
        <w:t xml:space="preserve">aggregazioni documentali, così come previsto dalla normativa in materia. Nel sistema di gestione documentale possono essere aperti i fascicoli archivistici. All’atto della loro costituzione, sul sistema di gestione informatica dei documenti viene </w:t>
      </w:r>
      <w:r>
        <w:rPr>
          <w:rFonts w:ascii="Verdana" w:hAnsi="Verdana" w:cs="Verdana"/>
          <w:sz w:val="18"/>
        </w:rPr>
        <w:lastRenderedPageBreak/>
        <w:t>valorizza</w:t>
      </w:r>
      <w:r>
        <w:rPr>
          <w:rFonts w:ascii="Verdana" w:hAnsi="Verdana" w:cs="Verdana"/>
          <w:sz w:val="18"/>
        </w:rPr>
        <w:t>to un set di metadati che li descrive e ne permette la successiva ricerca e acquisizione. Il fascicolo si individua con:</w:t>
      </w:r>
    </w:p>
    <w:p w:rsidR="006B44C3" w:rsidRDefault="00BA5E64">
      <w:pPr>
        <w:pStyle w:val="NormaleWeb"/>
        <w:numPr>
          <w:ilvl w:val="0"/>
          <w:numId w:val="1"/>
        </w:numPr>
      </w:pPr>
      <w:r>
        <w:rPr>
          <w:rFonts w:ascii="Verdana" w:hAnsi="Verdana" w:cs="Verdana"/>
          <w:sz w:val="18"/>
        </w:rPr>
        <w:t>anno di apertura</w:t>
      </w:r>
    </w:p>
    <w:p w:rsidR="006B44C3" w:rsidRDefault="00BA5E64">
      <w:pPr>
        <w:pStyle w:val="NormaleWeb"/>
        <w:numPr>
          <w:ilvl w:val="0"/>
          <w:numId w:val="1"/>
        </w:numPr>
      </w:pPr>
      <w:r>
        <w:rPr>
          <w:rFonts w:ascii="Verdana" w:hAnsi="Verdana" w:cs="Verdana"/>
          <w:sz w:val="18"/>
        </w:rPr>
        <w:t>classificazione</w:t>
      </w:r>
    </w:p>
    <w:p w:rsidR="006B44C3" w:rsidRDefault="00BA5E64">
      <w:pPr>
        <w:pStyle w:val="NormaleWeb"/>
        <w:numPr>
          <w:ilvl w:val="0"/>
          <w:numId w:val="1"/>
        </w:numPr>
      </w:pPr>
      <w:r>
        <w:rPr>
          <w:rFonts w:ascii="Verdana" w:hAnsi="Verdana" w:cs="Verdana"/>
          <w:sz w:val="18"/>
        </w:rPr>
        <w:t>numero del fascicolo assegnato automaticamente dal sistema, progressivo all’interno del grado division</w:t>
      </w:r>
      <w:r>
        <w:rPr>
          <w:rFonts w:ascii="Verdana" w:hAnsi="Verdana" w:cs="Verdana"/>
          <w:sz w:val="18"/>
        </w:rPr>
        <w:t>ale più basso del Titolario di classificazione.</w:t>
      </w:r>
    </w:p>
    <w:p w:rsidR="006B44C3" w:rsidRDefault="00BA5E64">
      <w:pPr>
        <w:pStyle w:val="NormaleWeb"/>
      </w:pPr>
      <w:r>
        <w:rPr>
          <w:rFonts w:ascii="Verdana" w:hAnsi="Verdana" w:cs="Verdana"/>
          <w:sz w:val="18"/>
        </w:rPr>
        <w:t>Ogni tipologia di fascicolo presenta i seguenti dati:</w:t>
      </w:r>
    </w:p>
    <w:p w:rsidR="006B44C3" w:rsidRDefault="00BA5E64">
      <w:pPr>
        <w:pStyle w:val="NormaleWeb"/>
        <w:numPr>
          <w:ilvl w:val="0"/>
          <w:numId w:val="2"/>
        </w:numPr>
      </w:pPr>
      <w:r>
        <w:rPr>
          <w:rFonts w:ascii="Verdana" w:hAnsi="Verdana" w:cs="Verdana"/>
          <w:sz w:val="18"/>
        </w:rPr>
        <w:t>indice di classificazione (obbligatorio)</w:t>
      </w:r>
    </w:p>
    <w:p w:rsidR="006B44C3" w:rsidRDefault="00BA5E64">
      <w:pPr>
        <w:pStyle w:val="NormaleWeb"/>
        <w:numPr>
          <w:ilvl w:val="0"/>
          <w:numId w:val="2"/>
        </w:numPr>
      </w:pPr>
      <w:r>
        <w:rPr>
          <w:rFonts w:ascii="Verdana" w:hAnsi="Verdana" w:cs="Verdana"/>
          <w:sz w:val="18"/>
        </w:rPr>
        <w:t>numero del fascicolo e anno (generato in automatico dal sistema)</w:t>
      </w:r>
    </w:p>
    <w:p w:rsidR="006B44C3" w:rsidRDefault="00BA5E64">
      <w:pPr>
        <w:pStyle w:val="NormaleWeb"/>
        <w:numPr>
          <w:ilvl w:val="0"/>
          <w:numId w:val="2"/>
        </w:numPr>
      </w:pPr>
      <w:r>
        <w:rPr>
          <w:rFonts w:ascii="Verdana" w:hAnsi="Verdana" w:cs="Verdana"/>
          <w:sz w:val="18"/>
        </w:rPr>
        <w:t>oggetto (obbligatorio)</w:t>
      </w:r>
    </w:p>
    <w:p w:rsidR="006B44C3" w:rsidRDefault="00BA5E64">
      <w:pPr>
        <w:pStyle w:val="NormaleWeb"/>
        <w:numPr>
          <w:ilvl w:val="0"/>
          <w:numId w:val="2"/>
        </w:numPr>
      </w:pPr>
      <w:r>
        <w:rPr>
          <w:rFonts w:ascii="Verdana" w:hAnsi="Verdana" w:cs="Verdana"/>
          <w:sz w:val="18"/>
        </w:rPr>
        <w:t>data di “apertura” (obbli</w:t>
      </w:r>
      <w:r>
        <w:rPr>
          <w:rFonts w:ascii="Verdana" w:hAnsi="Verdana" w:cs="Verdana"/>
          <w:sz w:val="18"/>
        </w:rPr>
        <w:t>gatorio)</w:t>
      </w:r>
    </w:p>
    <w:p w:rsidR="006B44C3" w:rsidRDefault="00BA5E64">
      <w:pPr>
        <w:pStyle w:val="NormaleWeb"/>
        <w:numPr>
          <w:ilvl w:val="0"/>
          <w:numId w:val="2"/>
        </w:numPr>
      </w:pPr>
      <w:r>
        <w:rPr>
          <w:rFonts w:ascii="Verdana" w:hAnsi="Verdana" w:cs="Verdana"/>
          <w:sz w:val="18"/>
        </w:rPr>
        <w:t>ufficio responsabile (obbligatorio)</w:t>
      </w:r>
    </w:p>
    <w:p w:rsidR="006B44C3" w:rsidRDefault="00BA5E64">
      <w:pPr>
        <w:pStyle w:val="NormaleWeb"/>
        <w:numPr>
          <w:ilvl w:val="0"/>
          <w:numId w:val="2"/>
        </w:numPr>
      </w:pPr>
      <w:r>
        <w:rPr>
          <w:rFonts w:ascii="Verdana" w:hAnsi="Verdana" w:cs="Verdana"/>
          <w:sz w:val="18"/>
        </w:rPr>
        <w:t>tipo fascicolo</w:t>
      </w:r>
    </w:p>
    <w:p w:rsidR="006B44C3" w:rsidRDefault="00BA5E64">
      <w:pPr>
        <w:pStyle w:val="NormaleWeb"/>
        <w:numPr>
          <w:ilvl w:val="0"/>
          <w:numId w:val="2"/>
        </w:numPr>
      </w:pPr>
      <w:r>
        <w:rPr>
          <w:rFonts w:ascii="Verdana" w:hAnsi="Verdana" w:cs="Verdana"/>
          <w:sz w:val="18"/>
        </w:rPr>
        <w:t>intestatario</w:t>
      </w:r>
    </w:p>
    <w:p w:rsidR="006B44C3" w:rsidRDefault="00BA5E64">
      <w:pPr>
        <w:pStyle w:val="NormaleWeb"/>
        <w:numPr>
          <w:ilvl w:val="0"/>
          <w:numId w:val="2"/>
        </w:numPr>
      </w:pPr>
      <w:r>
        <w:rPr>
          <w:rFonts w:ascii="Verdana" w:hAnsi="Verdana" w:cs="Verdana"/>
          <w:sz w:val="18"/>
        </w:rPr>
        <w:t>luogo di riferimento</w:t>
      </w:r>
    </w:p>
    <w:p w:rsidR="006B44C3" w:rsidRDefault="00BA5E64">
      <w:pPr>
        <w:pStyle w:val="NormaleWeb"/>
        <w:numPr>
          <w:ilvl w:val="0"/>
          <w:numId w:val="2"/>
        </w:numPr>
      </w:pPr>
      <w:r>
        <w:rPr>
          <w:rFonts w:ascii="Verdana" w:hAnsi="Verdana" w:cs="Verdana"/>
          <w:sz w:val="18"/>
        </w:rPr>
        <w:t>altri dati</w:t>
      </w:r>
    </w:p>
    <w:p w:rsidR="006B44C3" w:rsidRDefault="00BA5E64">
      <w:pPr>
        <w:pStyle w:val="NormaleWeb"/>
        <w:numPr>
          <w:ilvl w:val="0"/>
          <w:numId w:val="2"/>
        </w:numPr>
      </w:pPr>
      <w:r>
        <w:rPr>
          <w:rFonts w:ascii="Verdana" w:hAnsi="Verdana" w:cs="Verdana"/>
          <w:sz w:val="18"/>
        </w:rPr>
        <w:t>applicazione</w:t>
      </w:r>
    </w:p>
    <w:p w:rsidR="006B44C3" w:rsidRDefault="00BA5E64">
      <w:pPr>
        <w:pStyle w:val="NormaleWeb"/>
        <w:numPr>
          <w:ilvl w:val="0"/>
          <w:numId w:val="2"/>
        </w:numPr>
      </w:pPr>
      <w:r>
        <w:rPr>
          <w:rFonts w:ascii="Verdana" w:hAnsi="Verdana" w:cs="Verdana"/>
          <w:sz w:val="18"/>
        </w:rPr>
        <w:t>data chiusura (obbligatorio)</w:t>
      </w:r>
    </w:p>
    <w:p w:rsidR="006B44C3" w:rsidRDefault="00BA5E64">
      <w:pPr>
        <w:pStyle w:val="NormaleWeb"/>
        <w:numPr>
          <w:ilvl w:val="0"/>
          <w:numId w:val="2"/>
        </w:numPr>
      </w:pPr>
      <w:r>
        <w:rPr>
          <w:rFonts w:ascii="Verdana" w:hAnsi="Verdana" w:cs="Verdana"/>
          <w:sz w:val="18"/>
        </w:rPr>
        <w:t>permanenza in archivio corrente</w:t>
      </w:r>
    </w:p>
    <w:p w:rsidR="006B44C3" w:rsidRDefault="00BA5E64">
      <w:pPr>
        <w:pStyle w:val="NormaleWeb"/>
        <w:numPr>
          <w:ilvl w:val="0"/>
          <w:numId w:val="2"/>
        </w:numPr>
      </w:pPr>
      <w:r>
        <w:rPr>
          <w:rFonts w:ascii="Verdana" w:hAnsi="Verdana" w:cs="Verdana"/>
          <w:sz w:val="18"/>
        </w:rPr>
        <w:t>note</w:t>
      </w:r>
    </w:p>
    <w:p w:rsidR="006B44C3" w:rsidRDefault="00BA5E64">
      <w:pPr>
        <w:pStyle w:val="NormaleWeb"/>
      </w:pPr>
      <w:r>
        <w:rPr>
          <w:rFonts w:ascii="Verdana" w:hAnsi="Verdana" w:cs="Verdana"/>
          <w:b/>
          <w:sz w:val="18"/>
        </w:rPr>
        <w:t>3. Apertura dei fascicoli</w:t>
      </w:r>
    </w:p>
    <w:p w:rsidR="006B44C3" w:rsidRDefault="00BA5E64">
      <w:pPr>
        <w:pStyle w:val="NormaleWeb"/>
        <w:jc w:val="both"/>
      </w:pPr>
      <w:r>
        <w:rPr>
          <w:rFonts w:ascii="Verdana" w:hAnsi="Verdana" w:cs="Verdana"/>
          <w:sz w:val="18"/>
        </w:rPr>
        <w:t xml:space="preserve">I fascicoli sono aperti dagli uffici </w:t>
      </w:r>
      <w:r>
        <w:rPr>
          <w:rFonts w:ascii="Verdana" w:hAnsi="Verdana" w:cs="Verdana"/>
          <w:sz w:val="18"/>
        </w:rPr>
        <w:t>produttori cui compete lo svolgimento delle relative pratiche. Gli uffici produttori sono tenuti ad individuare quali fascicoli debbano essere aperti nel sistema di gestione documentale sulla base delle proprie esigenze pratiche ed operative, quindi attiva</w:t>
      </w:r>
      <w:r>
        <w:rPr>
          <w:rFonts w:ascii="Verdana" w:hAnsi="Verdana" w:cs="Verdana"/>
          <w:sz w:val="18"/>
        </w:rPr>
        <w:t>re la procedura di apertura del fascicolo nel sistema informatico. Nel momento di apertura del fascicolo dovranno essere compilati almeno i campi obbligatori, ovviamente ad eccezione della data di chiusura che diventa obbligatoria in fase di chiusura del f</w:t>
      </w:r>
      <w:r>
        <w:rPr>
          <w:rFonts w:ascii="Verdana" w:hAnsi="Verdana" w:cs="Verdana"/>
          <w:sz w:val="18"/>
        </w:rPr>
        <w:t>ascicolo. I fascicoli annuali e ripetitivi sono aperti automaticamente dal sistema; i fascicoli per procedimento devono essere aperti dagli uffici produttori.</w:t>
      </w:r>
    </w:p>
    <w:p w:rsidR="006B44C3" w:rsidRDefault="00BA5E64">
      <w:pPr>
        <w:pStyle w:val="NormaleWeb"/>
      </w:pPr>
      <w:r>
        <w:rPr>
          <w:rFonts w:ascii="Verdana" w:hAnsi="Verdana" w:cs="Verdana"/>
          <w:b/>
          <w:sz w:val="18"/>
        </w:rPr>
        <w:t>4. Gestione dei fascicoli</w:t>
      </w:r>
    </w:p>
    <w:p w:rsidR="006B44C3" w:rsidRDefault="00BA5E64">
      <w:pPr>
        <w:pStyle w:val="NormaleWeb"/>
        <w:jc w:val="both"/>
      </w:pPr>
      <w:r>
        <w:rPr>
          <w:rFonts w:ascii="Verdana" w:hAnsi="Verdana" w:cs="Verdana"/>
          <w:sz w:val="18"/>
        </w:rPr>
        <w:t>Tutti i documenti, indipendentemente dal supporto sul quale vengono for</w:t>
      </w:r>
      <w:r>
        <w:rPr>
          <w:rFonts w:ascii="Verdana" w:hAnsi="Verdana" w:cs="Verdana"/>
          <w:sz w:val="18"/>
        </w:rPr>
        <w:t>mati, sono riuniti in fascicoli. I documenti in ingresso, dopo la classificazione e la protocollazione, vengono rimessi dall’ufficio protocollo (o altre postazioni abilitate alla protocollazione in ingresso) agli uffici di competenza che avranno cura di fa</w:t>
      </w:r>
      <w:r>
        <w:rPr>
          <w:rFonts w:ascii="Verdana" w:hAnsi="Verdana" w:cs="Verdana"/>
          <w:sz w:val="18"/>
        </w:rPr>
        <w:t>scicolarli nel sistema di gestione documentale. Gli uffici competenti una volta preso in carico il documento all’interno del sistema informatico stabiliscono, eventualmente con l’ausilio delle funzioni di ricerca nel sistema di protocollo informatico, se i</w:t>
      </w:r>
      <w:r>
        <w:rPr>
          <w:rFonts w:ascii="Verdana" w:hAnsi="Verdana" w:cs="Verdana"/>
          <w:sz w:val="18"/>
        </w:rPr>
        <w:t>l documento stesso:</w:t>
      </w:r>
    </w:p>
    <w:p w:rsidR="006B44C3" w:rsidRDefault="00BA5E64">
      <w:pPr>
        <w:pStyle w:val="NormaleWeb"/>
        <w:numPr>
          <w:ilvl w:val="0"/>
          <w:numId w:val="3"/>
        </w:numPr>
      </w:pPr>
      <w:r>
        <w:rPr>
          <w:rFonts w:ascii="Verdana" w:hAnsi="Verdana" w:cs="Verdana"/>
          <w:sz w:val="18"/>
        </w:rPr>
        <w:t>si riferisce ad attività annuali di cui esiste già un fascicolo “annuale e ripetitivo”</w:t>
      </w:r>
    </w:p>
    <w:p w:rsidR="006B44C3" w:rsidRDefault="00BA5E64">
      <w:pPr>
        <w:pStyle w:val="NormaleWeb"/>
        <w:numPr>
          <w:ilvl w:val="0"/>
          <w:numId w:val="3"/>
        </w:numPr>
      </w:pPr>
      <w:r>
        <w:rPr>
          <w:rFonts w:ascii="Verdana" w:hAnsi="Verdana" w:cs="Verdana"/>
          <w:sz w:val="18"/>
        </w:rPr>
        <w:t>deve essere collegato ad un affare o procedimento in corso, e pertanto debba essere inserito in un fascicolo già esistente</w:t>
      </w:r>
    </w:p>
    <w:p w:rsidR="006B44C3" w:rsidRDefault="00BA5E64">
      <w:pPr>
        <w:pStyle w:val="NormaleWeb"/>
        <w:numPr>
          <w:ilvl w:val="0"/>
          <w:numId w:val="3"/>
        </w:numPr>
      </w:pPr>
      <w:r>
        <w:rPr>
          <w:rFonts w:ascii="Verdana" w:hAnsi="Verdana" w:cs="Verdana"/>
          <w:sz w:val="18"/>
        </w:rPr>
        <w:lastRenderedPageBreak/>
        <w:t xml:space="preserve">da avvio ad un nuovo </w:t>
      </w:r>
      <w:r>
        <w:rPr>
          <w:rFonts w:ascii="Verdana" w:hAnsi="Verdana" w:cs="Verdana"/>
          <w:sz w:val="18"/>
        </w:rPr>
        <w:t>procedimento/affare per cui è necessario aprire un nuovo fascicolo.</w:t>
      </w:r>
    </w:p>
    <w:p w:rsidR="006B44C3" w:rsidRDefault="00BA5E64">
      <w:pPr>
        <w:pStyle w:val="NormaleWeb"/>
        <w:jc w:val="both"/>
      </w:pPr>
      <w:r>
        <w:rPr>
          <w:rFonts w:ascii="Verdana" w:hAnsi="Verdana" w:cs="Verdana"/>
          <w:sz w:val="18"/>
        </w:rPr>
        <w:t>In quest’ultima ipotesi l’unità organizzativa competente dovrà aprire un nuovo fascicolo. I documenti in partenza, invece, devono essere fascicolati nel sistema di protocollo informatico d</w:t>
      </w:r>
      <w:r>
        <w:rPr>
          <w:rFonts w:ascii="Verdana" w:hAnsi="Verdana" w:cs="Verdana"/>
          <w:sz w:val="18"/>
        </w:rPr>
        <w:t>agli uffici produttori contestualmente alla classificazione e protocollazione. I fascicoli dell'archivio corrente sono formati e gestiti a cura degli uffici competenti fino alla loro chiusura nel sistema informatico. Gli uffici produttori sono responsabili</w:t>
      </w:r>
      <w:r>
        <w:rPr>
          <w:rFonts w:ascii="Verdana" w:hAnsi="Verdana" w:cs="Verdana"/>
          <w:sz w:val="18"/>
        </w:rPr>
        <w:t xml:space="preserve"> della corretta gestione dei fascicoli di propria competenza. </w:t>
      </w:r>
    </w:p>
    <w:p w:rsidR="006B44C3" w:rsidRPr="00BA5E64" w:rsidRDefault="00BA5E64" w:rsidP="00BA5E64">
      <w:pPr>
        <w:jc w:val="both"/>
        <w:rPr>
          <w:rFonts w:ascii="Verdana" w:hAnsi="Verdana" w:cs="Verdana"/>
          <w:sz w:val="18"/>
        </w:rPr>
      </w:pPr>
      <w:r w:rsidRPr="00BA5E64">
        <w:rPr>
          <w:rFonts w:ascii="Verdana" w:hAnsi="Verdana" w:cs="Verdana"/>
          <w:sz w:val="18"/>
        </w:rPr>
        <w:t>I fascicoli gestiti nel sistema informatico sono costituiti da originali digitali e copie immagine di documenti analogici. Qualora non sia effettuata copia immagine sostitutiva di documenti ori</w:t>
      </w:r>
      <w:r w:rsidRPr="00BA5E64">
        <w:rPr>
          <w:rFonts w:ascii="Verdana" w:hAnsi="Verdana" w:cs="Verdana"/>
          <w:sz w:val="18"/>
        </w:rPr>
        <w:t>ginali analogici gli uffici sono tenuti a creare anche il fascicolo cartaceo di riferimento, che dovrà contenere i documenti originali analogici. La copertina di tale fascicolo dovrà riportare i medesimi dati del fascicolo informatico compreso il codice (c</w:t>
      </w:r>
      <w:r w:rsidRPr="00BA5E64">
        <w:rPr>
          <w:rFonts w:ascii="Verdana" w:hAnsi="Verdana" w:cs="Verdana"/>
          <w:sz w:val="18"/>
        </w:rPr>
        <w:t>lassificazione e numero fascicolo). Nei fascicoli possono essere inseriti anche documenti soggetti a registrazione particolare/repertorio.</w:t>
      </w:r>
    </w:p>
    <w:p w:rsidR="006B44C3" w:rsidRDefault="00BA5E64">
      <w:pPr>
        <w:pStyle w:val="NormaleWeb"/>
        <w:rPr>
          <w:rFonts w:ascii="Verdana" w:hAnsi="Verdana" w:cs="Verdana"/>
          <w:sz w:val="18"/>
        </w:rPr>
      </w:pPr>
      <w:r>
        <w:rPr>
          <w:rFonts w:ascii="Verdana" w:hAnsi="Verdana" w:cs="Verdana"/>
          <w:b/>
          <w:sz w:val="18"/>
        </w:rPr>
        <w:t>5. Condivisione dei fascicoli informatici e delle aggregazioni documentali informatiche</w:t>
      </w:r>
    </w:p>
    <w:p w:rsidR="006B44C3" w:rsidRDefault="00BA5E64">
      <w:pPr>
        <w:pStyle w:val="NormaleWeb"/>
        <w:jc w:val="both"/>
      </w:pPr>
      <w:r>
        <w:rPr>
          <w:rFonts w:ascii="Verdana" w:hAnsi="Verdana" w:cs="Verdana"/>
          <w:sz w:val="18"/>
        </w:rPr>
        <w:t>Gli uffici competenti garanti</w:t>
      </w:r>
      <w:r>
        <w:rPr>
          <w:rFonts w:ascii="Verdana" w:hAnsi="Verdana" w:cs="Verdana"/>
          <w:sz w:val="18"/>
        </w:rPr>
        <w:t>scono la consultazione e/o l’implementazione dei propri fascicoli ad altri uffici mediante le specifiche funzioni del sistema di gestione informatica dei documenti.</w:t>
      </w:r>
    </w:p>
    <w:p w:rsidR="006B44C3" w:rsidRDefault="00BA5E64">
      <w:pPr>
        <w:pStyle w:val="NormaleWeb"/>
      </w:pPr>
      <w:r>
        <w:rPr>
          <w:rFonts w:ascii="Verdana" w:hAnsi="Verdana" w:cs="Verdana"/>
          <w:b/>
          <w:sz w:val="18"/>
        </w:rPr>
        <w:t>6. Chiusura dei fascicoli</w:t>
      </w:r>
    </w:p>
    <w:p w:rsidR="006B44C3" w:rsidRDefault="00BA5E64" w:rsidP="00BA5E64">
      <w:pPr>
        <w:pStyle w:val="NormaleWeb"/>
        <w:jc w:val="both"/>
      </w:pPr>
      <w:r>
        <w:rPr>
          <w:rFonts w:ascii="Verdana" w:hAnsi="Verdana" w:cs="Verdana"/>
          <w:sz w:val="18"/>
        </w:rPr>
        <w:t>Gli uffici produttori sono tenuti a chiudere i fascicoli nel sis</w:t>
      </w:r>
      <w:r>
        <w:rPr>
          <w:rFonts w:ascii="Verdana" w:hAnsi="Verdana" w:cs="Verdana"/>
          <w:sz w:val="18"/>
        </w:rPr>
        <w:t>tema informatico. I fascicoli per procedimento o affare dovranno essere chiusi alla conclusione del procedimento o affare relativo. I fascicoli per attività verranno chiusi annualmente.</w:t>
      </w:r>
    </w:p>
    <w:p w:rsidR="006B44C3" w:rsidRDefault="00BA5E64">
      <w:pPr>
        <w:spacing w:line="257" w:lineRule="exact"/>
        <w:jc w:val="both"/>
        <w:rPr>
          <w:rFonts w:ascii="Verdana" w:hAnsi="Verdana" w:cs="Verdana"/>
          <w:sz w:val="18"/>
        </w:rPr>
      </w:pPr>
      <w:r>
        <w:rPr>
          <w:rFonts w:ascii="Verdana" w:hAnsi="Verdana" w:cs="Verdana"/>
          <w:sz w:val="18"/>
        </w:rPr>
        <w:t>I</w:t>
      </w:r>
      <w:bookmarkStart w:id="0" w:name="_GoBack"/>
      <w:bookmarkEnd w:id="0"/>
      <w:r>
        <w:rPr>
          <w:rFonts w:ascii="Verdana" w:hAnsi="Verdana" w:cs="Verdana"/>
          <w:sz w:val="18"/>
        </w:rPr>
        <w:t xml:space="preserve"> fascicoli per attività, per i quali in apertura è stata attivata nel</w:t>
      </w:r>
      <w:r>
        <w:rPr>
          <w:rFonts w:ascii="Verdana" w:hAnsi="Verdana" w:cs="Verdana"/>
          <w:sz w:val="18"/>
        </w:rPr>
        <w:t xml:space="preserve"> sistema la funzione di annuali e ripetitivi, verranno chiusi annualmente con un automatismo dal sistema e riaperti automaticamente per l’anno successivo. Gli uffici competenti ogni anno devono controllare che i fascicoli “annuali e ripetitivi” di loro com</w:t>
      </w:r>
      <w:r>
        <w:rPr>
          <w:rFonts w:ascii="Verdana" w:hAnsi="Verdana" w:cs="Verdana"/>
          <w:sz w:val="18"/>
        </w:rPr>
        <w:t>petenza debbano essere aperti anche l’anno successivo e in caso contrario segnalare prima del 01/01/AA l’eventuale modifica al Responsabile della gestione documentale. </w:t>
      </w:r>
    </w:p>
    <w:p w:rsidR="006B44C3" w:rsidRDefault="00BA5E64">
      <w:pPr>
        <w:pStyle w:val="NormaleWeb"/>
        <w:rPr>
          <w:rFonts w:ascii="Verdana" w:hAnsi="Verdana" w:cs="Verdana"/>
          <w:sz w:val="18"/>
        </w:rPr>
      </w:pPr>
      <w:r>
        <w:rPr>
          <w:rFonts w:ascii="Verdana" w:hAnsi="Verdana" w:cs="Verdana"/>
          <w:b/>
          <w:sz w:val="18"/>
        </w:rPr>
        <w:t>7. Sottofascicoli</w:t>
      </w:r>
    </w:p>
    <w:p w:rsidR="006B44C3" w:rsidRDefault="00BA5E64">
      <w:pPr>
        <w:pStyle w:val="NormaleWeb"/>
        <w:jc w:val="both"/>
      </w:pPr>
      <w:r>
        <w:rPr>
          <w:rFonts w:ascii="Verdana" w:hAnsi="Verdana" w:cs="Verdana"/>
          <w:sz w:val="18"/>
        </w:rPr>
        <w:t xml:space="preserve">Il sistema di protocollo informatico consente l’apertura all’interno </w:t>
      </w:r>
      <w:r>
        <w:rPr>
          <w:rFonts w:ascii="Verdana" w:hAnsi="Verdana" w:cs="Verdana"/>
          <w:sz w:val="18"/>
        </w:rPr>
        <w:t>dei diversi fascicoli di “sottofascicoli”. I sottofascicoli sono creati e gestiti dai servizi/uffici in base alle proprie esigenze organizzative, tra cui:</w:t>
      </w:r>
    </w:p>
    <w:p w:rsidR="006B44C3" w:rsidRDefault="00BA5E64">
      <w:pPr>
        <w:pStyle w:val="NormaleWeb"/>
        <w:numPr>
          <w:ilvl w:val="0"/>
          <w:numId w:val="4"/>
        </w:numPr>
      </w:pPr>
      <w:r>
        <w:rPr>
          <w:rFonts w:ascii="Verdana" w:hAnsi="Verdana" w:cs="Verdana"/>
          <w:sz w:val="18"/>
        </w:rPr>
        <w:t>gestire fasi di procedimento diverse</w:t>
      </w:r>
    </w:p>
    <w:p w:rsidR="006B44C3" w:rsidRDefault="00BA5E64">
      <w:pPr>
        <w:pStyle w:val="NormaleWeb"/>
        <w:numPr>
          <w:ilvl w:val="0"/>
          <w:numId w:val="4"/>
        </w:numPr>
      </w:pPr>
      <w:r>
        <w:rPr>
          <w:rFonts w:ascii="Verdana" w:hAnsi="Verdana" w:cs="Verdana"/>
          <w:sz w:val="18"/>
        </w:rPr>
        <w:t>gestire tempi di conservazione diversi dei documenti che costitu</w:t>
      </w:r>
      <w:r>
        <w:rPr>
          <w:rFonts w:ascii="Verdana" w:hAnsi="Verdana" w:cs="Verdana"/>
          <w:sz w:val="18"/>
        </w:rPr>
        <w:t>iscono i procedimenti/affari</w:t>
      </w:r>
    </w:p>
    <w:p w:rsidR="006B44C3" w:rsidRDefault="00BA5E64">
      <w:pPr>
        <w:pStyle w:val="NormaleWeb"/>
        <w:numPr>
          <w:ilvl w:val="0"/>
          <w:numId w:val="4"/>
        </w:numPr>
      </w:pPr>
      <w:r>
        <w:rPr>
          <w:rFonts w:ascii="Verdana" w:hAnsi="Verdana" w:cs="Verdana"/>
          <w:sz w:val="18"/>
        </w:rPr>
        <w:t>gestire eventuali riservatezze.</w:t>
      </w:r>
    </w:p>
    <w:p w:rsidR="006B44C3" w:rsidRDefault="00BA5E64">
      <w:pPr>
        <w:pStyle w:val="NormaleWeb"/>
        <w:jc w:val="both"/>
      </w:pPr>
      <w:r>
        <w:rPr>
          <w:rFonts w:ascii="Verdana" w:hAnsi="Verdana" w:cs="Verdana"/>
          <w:sz w:val="18"/>
        </w:rPr>
        <w:t>Gli uffici competenti per la gestione dei diversi fascicoli possono in ogni momento aprire e gestire all’interno degli stessi i sottofascicoli che ritengono necessari per la gestione delle pratic</w:t>
      </w:r>
      <w:r>
        <w:rPr>
          <w:rFonts w:ascii="Verdana" w:hAnsi="Verdana" w:cs="Verdana"/>
          <w:sz w:val="18"/>
        </w:rPr>
        <w:t>he. Le regole di apertura, gestione e chiusura sono le medesime di quelle stabilite per i fascicoli.</w:t>
      </w:r>
    </w:p>
    <w:p w:rsidR="006B44C3" w:rsidRDefault="00BA5E64">
      <w:pPr>
        <w:jc w:val="both"/>
        <w:rPr>
          <w:rFonts w:ascii="Verdana" w:hAnsi="Verdana" w:cs="Verdana"/>
          <w:sz w:val="18"/>
        </w:rPr>
      </w:pPr>
      <w:r>
        <w:rPr>
          <w:rFonts w:ascii="Verdana" w:hAnsi="Verdana" w:cs="Verdana"/>
          <w:b/>
          <w:sz w:val="18"/>
          <w:u w:val="single"/>
        </w:rPr>
        <w:t>L’elenco dei fascicoli è disponibile nel sistema di gestione documentale</w:t>
      </w:r>
    </w:p>
    <w:sectPr w:rsidR="006B44C3">
      <w:headerReference w:type="default" r:id="rId7"/>
      <w:footerReference w:type="default" r:id="rId8"/>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BA5E64">
      <w:pPr>
        <w:spacing w:after="0" w:line="240" w:lineRule="auto"/>
      </w:pPr>
      <w:r>
        <w:separator/>
      </w:r>
    </w:p>
  </w:endnote>
  <w:endnote w:type="continuationSeparator" w:id="0">
    <w:p w:rsidR="00000000" w:rsidRDefault="00BA5E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44C3" w:rsidRDefault="00BA5E64">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PAGE  \* Arabic  \* MERGEFORMAT</w:instrText>
    </w:r>
    <w:r>
      <w:fldChar w:fldCharType="separate"/>
    </w:r>
    <w:r>
      <w:rPr>
        <w:rFonts w:ascii="Verdana" w:hAnsi="Verdana" w:cs="Verdana"/>
        <w:noProof/>
        <w:sz w:val="18"/>
      </w:rPr>
      <w:t>1</w:t>
    </w:r>
    <w:r>
      <w:fldChar w:fldCharType="end"/>
    </w:r>
    <w:r>
      <w:rPr>
        <w:rFonts w:ascii="Verdana" w:hAnsi="Verdana" w:cs="Verdana"/>
        <w:sz w:val="18"/>
      </w:rPr>
      <w:t xml:space="preserve"> di </w:t>
    </w:r>
    <w:r>
      <w:fldChar w:fldCharType="begin"/>
    </w:r>
    <w:r>
      <w:rPr>
        <w:rFonts w:ascii="Verdana" w:hAnsi="Verdana" w:cs="Verdana"/>
        <w:sz w:val="18"/>
      </w:rPr>
      <w:instrText>NUMPAGES  \* Arabic  \* MERGEFORMAT</w:instrText>
    </w:r>
    <w:r>
      <w:fldChar w:fldCharType="separate"/>
    </w:r>
    <w:r>
      <w:rPr>
        <w:rFonts w:ascii="Verdana" w:hAnsi="Verdana" w:cs="Verdana"/>
        <w:noProof/>
        <w:sz w:val="18"/>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BA5E64">
      <w:pPr>
        <w:spacing w:after="0" w:line="240" w:lineRule="auto"/>
      </w:pPr>
      <w:r>
        <w:separator/>
      </w:r>
    </w:p>
  </w:footnote>
  <w:footnote w:type="continuationSeparator" w:id="0">
    <w:p w:rsidR="00000000" w:rsidRDefault="00BA5E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6B44C3">
      <w:tc>
        <w:tcPr>
          <w:tcW w:w="10194" w:type="dxa"/>
        </w:tcPr>
        <w:p w:rsidR="006B44C3" w:rsidRDefault="00BA5E64">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6B44C3">
      <w:tc>
        <w:tcPr>
          <w:tcW w:w="10194" w:type="dxa"/>
        </w:tcPr>
        <w:p w:rsidR="006B44C3" w:rsidRDefault="00BA5E64">
          <w:pPr>
            <w:spacing w:line="200" w:lineRule="atLeast"/>
            <w:jc w:val="center"/>
            <w:outlineLvl w:val="0"/>
            <w:rPr>
              <w:rFonts w:ascii="Times New Roman" w:hAnsi="Times New Roman" w:cs="Times New Roman"/>
              <w:sz w:val="30"/>
            </w:rPr>
          </w:pPr>
          <w:r>
            <w:rPr>
              <w:rFonts w:ascii="Tahoma" w:hAnsi="Tahoma" w:cs="Tahoma"/>
              <w:sz w:val="40"/>
            </w:rPr>
            <w:t>UNIONE DEI COMUNI DELLA VALSAVIORE</w:t>
          </w:r>
        </w:p>
        <w:p w:rsidR="006B44C3" w:rsidRDefault="00BA5E64">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6B44C3" w:rsidRDefault="00BA5E64">
          <w:pPr>
            <w:spacing w:line="200" w:lineRule="atLeast"/>
            <w:jc w:val="center"/>
            <w:outlineLvl w:val="0"/>
            <w:rPr>
              <w:rFonts w:ascii="Tahoma" w:hAnsi="Tahoma" w:cs="Tahoma"/>
              <w:sz w:val="20"/>
            </w:rPr>
          </w:pPr>
          <w:r>
            <w:rPr>
              <w:rFonts w:ascii="Tahoma" w:hAnsi="Tahoma" w:cs="Tahoma"/>
              <w:sz w:val="20"/>
            </w:rPr>
            <w:t xml:space="preserve">Sede legale: Piazza Roma, 1 – 25051 Cedegolo (Bs) </w:t>
          </w:r>
        </w:p>
        <w:p w:rsidR="006B44C3" w:rsidRDefault="00BA5E64">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(Bs)</w:t>
          </w:r>
        </w:p>
        <w:p w:rsidR="006B44C3" w:rsidRDefault="00BA5E64">
          <w:pPr>
            <w:spacing w:before="100" w:beforeAutospacing="1" w:line="200" w:lineRule="atLeast"/>
            <w:ind w:left="-210"/>
            <w:jc w:val="center"/>
            <w:rPr>
              <w:rFonts w:ascii="Times New Roman" w:hAnsi="Times New Roman" w:cs="Times New Roman"/>
              <w:sz w:val="24"/>
            </w:rPr>
          </w:pPr>
          <w:r>
            <w:rPr>
              <w:rFonts w:ascii="Tahoma" w:hAnsi="Tahoma" w:cs="Tahoma"/>
              <w:sz w:val="20"/>
            </w:rPr>
            <w:t xml:space="preserve">tel. 0364/61100 – fax 0364/622675 – </w:t>
          </w:r>
          <w:hyperlink r:id="rId6" w:history="1">
            <w:r>
              <w:rPr>
                <w:rFonts w:ascii="Tahoma" w:hAnsi="Tahoma" w:cs="Tahoma"/>
                <w:color w:val="0000FF"/>
                <w:sz w:val="20"/>
                <w:u w:val="single"/>
              </w:rPr>
              <w:t>info@unionevalsaviore.bs.it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nione.valsaviore@pec.regione.lombardia.it</w:t>
            </w:r>
          </w:hyperlink>
        </w:p>
      </w:tc>
    </w:tr>
  </w:tbl>
  <w:p w:rsidR="006B44C3" w:rsidRDefault="006B44C3">
    <w:pPr>
      <w:pStyle w:val="Intestazione"/>
      <w:rPr>
        <w:rFonts w:ascii="Verdana" w:hAnsi="Verdana" w:cs="Verdana"/>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354162"/>
    <w:multiLevelType w:val="hybridMultilevel"/>
    <w:tmpl w:val="F9F83F64"/>
    <w:lvl w:ilvl="0" w:tplc="5D6C7E10">
      <w:start w:val="1"/>
      <w:numFmt w:val="bullet"/>
      <w:lvlText w:val=""/>
      <w:lvlJc w:val="left"/>
      <w:pPr>
        <w:ind w:left="720" w:hanging="360"/>
      </w:pPr>
      <w:rPr>
        <w:rFonts w:ascii="Symbol" w:hAnsi="Symbol" w:cs="Symbol"/>
      </w:rPr>
    </w:lvl>
    <w:lvl w:ilvl="1" w:tplc="9D2C2D34">
      <w:start w:val="1"/>
      <w:numFmt w:val="decimal"/>
      <w:lvlText w:val="%2."/>
      <w:lvlJc w:val="left"/>
      <w:pPr>
        <w:ind w:left="1080" w:hanging="360"/>
      </w:pPr>
    </w:lvl>
    <w:lvl w:ilvl="2" w:tplc="939C4DF6">
      <w:start w:val="1"/>
      <w:numFmt w:val="decimal"/>
      <w:lvlText w:val="%3."/>
      <w:lvlJc w:val="left"/>
      <w:pPr>
        <w:ind w:left="1440" w:hanging="360"/>
      </w:pPr>
    </w:lvl>
    <w:lvl w:ilvl="3" w:tplc="605AF186">
      <w:start w:val="1"/>
      <w:numFmt w:val="decimal"/>
      <w:lvlText w:val="%4."/>
      <w:lvlJc w:val="left"/>
      <w:pPr>
        <w:ind w:left="1800" w:hanging="360"/>
      </w:pPr>
    </w:lvl>
    <w:lvl w:ilvl="4" w:tplc="5BBEFD7E">
      <w:start w:val="1"/>
      <w:numFmt w:val="decimal"/>
      <w:lvlText w:val="%5."/>
      <w:lvlJc w:val="left"/>
      <w:pPr>
        <w:ind w:left="2160" w:hanging="360"/>
      </w:pPr>
    </w:lvl>
    <w:lvl w:ilvl="5" w:tplc="6C5460A8">
      <w:start w:val="1"/>
      <w:numFmt w:val="decimal"/>
      <w:lvlText w:val="%6."/>
      <w:lvlJc w:val="left"/>
      <w:pPr>
        <w:ind w:left="2520" w:hanging="360"/>
      </w:pPr>
    </w:lvl>
    <w:lvl w:ilvl="6" w:tplc="633A1002">
      <w:start w:val="1"/>
      <w:numFmt w:val="decimal"/>
      <w:lvlText w:val="%7."/>
      <w:lvlJc w:val="left"/>
      <w:pPr>
        <w:ind w:left="2880" w:hanging="360"/>
      </w:pPr>
    </w:lvl>
    <w:lvl w:ilvl="7" w:tplc="8AAC69F4">
      <w:start w:val="1"/>
      <w:numFmt w:val="decimal"/>
      <w:lvlText w:val="%8."/>
      <w:lvlJc w:val="left"/>
      <w:pPr>
        <w:ind w:left="3240" w:hanging="360"/>
      </w:pPr>
    </w:lvl>
    <w:lvl w:ilvl="8" w:tplc="2F16DBC0">
      <w:start w:val="1"/>
      <w:numFmt w:val="decimal"/>
      <w:lvlText w:val="%9."/>
      <w:lvlJc w:val="left"/>
      <w:pPr>
        <w:ind w:left="3600" w:hanging="360"/>
      </w:pPr>
    </w:lvl>
  </w:abstractNum>
  <w:abstractNum w:abstractNumId="1" w15:restartNumberingAfterBreak="0">
    <w:nsid w:val="213E7441"/>
    <w:multiLevelType w:val="hybridMultilevel"/>
    <w:tmpl w:val="5186DFFA"/>
    <w:lvl w:ilvl="0" w:tplc="156066D4">
      <w:start w:val="1"/>
      <w:numFmt w:val="bullet"/>
      <w:lvlText w:val=""/>
      <w:lvlJc w:val="left"/>
      <w:pPr>
        <w:ind w:left="720" w:hanging="360"/>
      </w:pPr>
      <w:rPr>
        <w:rFonts w:ascii="Symbol" w:hAnsi="Symbol" w:cs="Symbol"/>
      </w:rPr>
    </w:lvl>
    <w:lvl w:ilvl="1" w:tplc="525298AC">
      <w:start w:val="1"/>
      <w:numFmt w:val="decimal"/>
      <w:lvlText w:val="%2."/>
      <w:lvlJc w:val="left"/>
      <w:pPr>
        <w:ind w:left="1080" w:hanging="360"/>
      </w:pPr>
    </w:lvl>
    <w:lvl w:ilvl="2" w:tplc="78D28AC0">
      <w:start w:val="1"/>
      <w:numFmt w:val="decimal"/>
      <w:lvlText w:val="%3."/>
      <w:lvlJc w:val="left"/>
      <w:pPr>
        <w:ind w:left="1440" w:hanging="360"/>
      </w:pPr>
    </w:lvl>
    <w:lvl w:ilvl="3" w:tplc="4C6AE31E">
      <w:start w:val="1"/>
      <w:numFmt w:val="decimal"/>
      <w:lvlText w:val="%4."/>
      <w:lvlJc w:val="left"/>
      <w:pPr>
        <w:ind w:left="1800" w:hanging="360"/>
      </w:pPr>
    </w:lvl>
    <w:lvl w:ilvl="4" w:tplc="B2FAA1D2">
      <w:start w:val="1"/>
      <w:numFmt w:val="decimal"/>
      <w:lvlText w:val="%5."/>
      <w:lvlJc w:val="left"/>
      <w:pPr>
        <w:ind w:left="2160" w:hanging="360"/>
      </w:pPr>
    </w:lvl>
    <w:lvl w:ilvl="5" w:tplc="675E0F34">
      <w:start w:val="1"/>
      <w:numFmt w:val="decimal"/>
      <w:lvlText w:val="%6."/>
      <w:lvlJc w:val="left"/>
      <w:pPr>
        <w:ind w:left="2520" w:hanging="360"/>
      </w:pPr>
    </w:lvl>
    <w:lvl w:ilvl="6" w:tplc="B0D8BD3C">
      <w:start w:val="1"/>
      <w:numFmt w:val="decimal"/>
      <w:lvlText w:val="%7."/>
      <w:lvlJc w:val="left"/>
      <w:pPr>
        <w:ind w:left="2880" w:hanging="360"/>
      </w:pPr>
    </w:lvl>
    <w:lvl w:ilvl="7" w:tplc="24AC521E">
      <w:start w:val="1"/>
      <w:numFmt w:val="decimal"/>
      <w:lvlText w:val="%8."/>
      <w:lvlJc w:val="left"/>
      <w:pPr>
        <w:ind w:left="3240" w:hanging="360"/>
      </w:pPr>
    </w:lvl>
    <w:lvl w:ilvl="8" w:tplc="A8C89882">
      <w:start w:val="1"/>
      <w:numFmt w:val="decimal"/>
      <w:lvlText w:val="%9."/>
      <w:lvlJc w:val="left"/>
      <w:pPr>
        <w:ind w:left="3600" w:hanging="360"/>
      </w:pPr>
    </w:lvl>
  </w:abstractNum>
  <w:abstractNum w:abstractNumId="2" w15:restartNumberingAfterBreak="0">
    <w:nsid w:val="56DF69BD"/>
    <w:multiLevelType w:val="hybridMultilevel"/>
    <w:tmpl w:val="AE4C175C"/>
    <w:lvl w:ilvl="0" w:tplc="728AB560">
      <w:start w:val="1"/>
      <w:numFmt w:val="bullet"/>
      <w:lvlText w:val=""/>
      <w:lvlJc w:val="left"/>
      <w:pPr>
        <w:ind w:left="720" w:hanging="360"/>
      </w:pPr>
      <w:rPr>
        <w:rFonts w:ascii="Symbol" w:hAnsi="Symbol" w:cs="Symbol"/>
      </w:rPr>
    </w:lvl>
    <w:lvl w:ilvl="1" w:tplc="AD0E8A48">
      <w:start w:val="1"/>
      <w:numFmt w:val="decimal"/>
      <w:lvlText w:val="%2."/>
      <w:lvlJc w:val="left"/>
      <w:pPr>
        <w:ind w:left="1080" w:hanging="360"/>
      </w:pPr>
    </w:lvl>
    <w:lvl w:ilvl="2" w:tplc="8F567A92">
      <w:start w:val="1"/>
      <w:numFmt w:val="decimal"/>
      <w:lvlText w:val="%3."/>
      <w:lvlJc w:val="left"/>
      <w:pPr>
        <w:ind w:left="1440" w:hanging="360"/>
      </w:pPr>
    </w:lvl>
    <w:lvl w:ilvl="3" w:tplc="A57CFA78">
      <w:start w:val="1"/>
      <w:numFmt w:val="decimal"/>
      <w:lvlText w:val="%4."/>
      <w:lvlJc w:val="left"/>
      <w:pPr>
        <w:ind w:left="1800" w:hanging="360"/>
      </w:pPr>
    </w:lvl>
    <w:lvl w:ilvl="4" w:tplc="6D061D22">
      <w:start w:val="1"/>
      <w:numFmt w:val="decimal"/>
      <w:lvlText w:val="%5."/>
      <w:lvlJc w:val="left"/>
      <w:pPr>
        <w:ind w:left="2160" w:hanging="360"/>
      </w:pPr>
    </w:lvl>
    <w:lvl w:ilvl="5" w:tplc="1D1E5BEA">
      <w:start w:val="1"/>
      <w:numFmt w:val="decimal"/>
      <w:lvlText w:val="%6."/>
      <w:lvlJc w:val="left"/>
      <w:pPr>
        <w:ind w:left="2520" w:hanging="360"/>
      </w:pPr>
    </w:lvl>
    <w:lvl w:ilvl="6" w:tplc="98708628">
      <w:start w:val="1"/>
      <w:numFmt w:val="decimal"/>
      <w:lvlText w:val="%7."/>
      <w:lvlJc w:val="left"/>
      <w:pPr>
        <w:ind w:left="2880" w:hanging="360"/>
      </w:pPr>
    </w:lvl>
    <w:lvl w:ilvl="7" w:tplc="55DEB2C0">
      <w:start w:val="1"/>
      <w:numFmt w:val="decimal"/>
      <w:lvlText w:val="%8."/>
      <w:lvlJc w:val="left"/>
      <w:pPr>
        <w:ind w:left="3240" w:hanging="360"/>
      </w:pPr>
    </w:lvl>
    <w:lvl w:ilvl="8" w:tplc="0D667956">
      <w:start w:val="1"/>
      <w:numFmt w:val="decimal"/>
      <w:lvlText w:val="%9."/>
      <w:lvlJc w:val="left"/>
      <w:pPr>
        <w:ind w:left="3600" w:hanging="360"/>
      </w:pPr>
    </w:lvl>
  </w:abstractNum>
  <w:abstractNum w:abstractNumId="3" w15:restartNumberingAfterBreak="0">
    <w:nsid w:val="63E9318A"/>
    <w:multiLevelType w:val="hybridMultilevel"/>
    <w:tmpl w:val="6152E5B2"/>
    <w:lvl w:ilvl="0" w:tplc="7F0EE17A">
      <w:start w:val="1"/>
      <w:numFmt w:val="bullet"/>
      <w:lvlText w:val=""/>
      <w:lvlJc w:val="left"/>
      <w:pPr>
        <w:ind w:left="720" w:hanging="360"/>
      </w:pPr>
      <w:rPr>
        <w:rFonts w:ascii="Symbol" w:hAnsi="Symbol" w:cs="Symbol"/>
      </w:rPr>
    </w:lvl>
    <w:lvl w:ilvl="1" w:tplc="9C88ACFC">
      <w:start w:val="1"/>
      <w:numFmt w:val="decimal"/>
      <w:lvlText w:val="%2."/>
      <w:lvlJc w:val="left"/>
      <w:pPr>
        <w:ind w:left="1080" w:hanging="360"/>
      </w:pPr>
    </w:lvl>
    <w:lvl w:ilvl="2" w:tplc="E8328BF8">
      <w:start w:val="1"/>
      <w:numFmt w:val="decimal"/>
      <w:lvlText w:val="%3."/>
      <w:lvlJc w:val="left"/>
      <w:pPr>
        <w:ind w:left="1440" w:hanging="360"/>
      </w:pPr>
    </w:lvl>
    <w:lvl w:ilvl="3" w:tplc="28FC9478">
      <w:start w:val="1"/>
      <w:numFmt w:val="decimal"/>
      <w:lvlText w:val="%4."/>
      <w:lvlJc w:val="left"/>
      <w:pPr>
        <w:ind w:left="1800" w:hanging="360"/>
      </w:pPr>
    </w:lvl>
    <w:lvl w:ilvl="4" w:tplc="3BCA0FF2">
      <w:start w:val="1"/>
      <w:numFmt w:val="decimal"/>
      <w:lvlText w:val="%5."/>
      <w:lvlJc w:val="left"/>
      <w:pPr>
        <w:ind w:left="2160" w:hanging="360"/>
      </w:pPr>
    </w:lvl>
    <w:lvl w:ilvl="5" w:tplc="1E200CFA">
      <w:start w:val="1"/>
      <w:numFmt w:val="decimal"/>
      <w:lvlText w:val="%6."/>
      <w:lvlJc w:val="left"/>
      <w:pPr>
        <w:ind w:left="2520" w:hanging="360"/>
      </w:pPr>
    </w:lvl>
    <w:lvl w:ilvl="6" w:tplc="2904C572">
      <w:start w:val="1"/>
      <w:numFmt w:val="decimal"/>
      <w:lvlText w:val="%7."/>
      <w:lvlJc w:val="left"/>
      <w:pPr>
        <w:ind w:left="2880" w:hanging="360"/>
      </w:pPr>
    </w:lvl>
    <w:lvl w:ilvl="7" w:tplc="1D464A46">
      <w:start w:val="1"/>
      <w:numFmt w:val="decimal"/>
      <w:lvlText w:val="%8."/>
      <w:lvlJc w:val="left"/>
      <w:pPr>
        <w:ind w:left="3240" w:hanging="360"/>
      </w:pPr>
    </w:lvl>
    <w:lvl w:ilvl="8" w:tplc="F79A8BC0">
      <w:start w:val="1"/>
      <w:numFmt w:val="decimal"/>
      <w:lvlText w:val="%9."/>
      <w:lvlJc w:val="left"/>
      <w:pPr>
        <w:ind w:left="3600" w:hanging="36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44C3"/>
    <w:rsid w:val="006B44C3"/>
    <w:rsid w:val="00BA5E6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14530"/>
  <w15:docId w15:val="{1EC56D3D-C6E9-4EE5-B74B-97D8C2C7C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1288</Words>
  <Characters>7343</Characters>
  <Application>Microsoft Office Word</Application>
  <DocSecurity>0</DocSecurity>
  <Lines>61</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Fasano</dc:creator>
  <cp:lastModifiedBy>Alessandra Fasano</cp:lastModifiedBy>
  <cp:revision>2</cp:revision>
  <dcterms:created xsi:type="dcterms:W3CDTF">2017-10-09T09:59:00Z</dcterms:created>
  <dcterms:modified xsi:type="dcterms:W3CDTF">2017-10-09T09:59:00Z</dcterms:modified>
</cp:coreProperties>
</file>