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3A7" w:rsidRDefault="004B43A7">
      <w:pPr>
        <w:spacing w:after="0" w:line="240" w:lineRule="auto"/>
        <w:ind w:left="0" w:firstLine="0"/>
        <w:jc w:val="center"/>
      </w:pPr>
    </w:p>
    <w:p w:rsidR="004B43A7" w:rsidRDefault="004B4380">
      <w:pPr>
        <w:spacing w:after="23" w:line="240" w:lineRule="auto"/>
        <w:ind w:left="0" w:firstLine="0"/>
        <w:jc w:val="center"/>
      </w:pPr>
      <w:r>
        <w:rPr>
          <w:rFonts w:ascii="Calibri" w:eastAsia="Calibri" w:hAnsi="Calibri" w:cs="Calibri"/>
          <w:noProof/>
          <w:sz w:val="22"/>
        </w:rPr>
        <w:drawing>
          <wp:inline distT="0" distB="0" distL="0" distR="0">
            <wp:extent cx="400812" cy="437388"/>
            <wp:effectExtent l="0" t="0" r="0" b="0"/>
            <wp:docPr id="1313" name="Picture 1313"/>
            <wp:cNvGraphicFramePr/>
            <a:graphic xmlns:a="http://schemas.openxmlformats.org/drawingml/2006/main">
              <a:graphicData uri="http://schemas.openxmlformats.org/drawingml/2006/picture">
                <pic:pic xmlns:pic="http://schemas.openxmlformats.org/drawingml/2006/picture">
                  <pic:nvPicPr>
                    <pic:cNvPr id="1313" name="Picture 1313"/>
                    <pic:cNvPicPr/>
                  </pic:nvPicPr>
                  <pic:blipFill>
                    <a:blip r:embed="rId4"/>
                    <a:stretch>
                      <a:fillRect/>
                    </a:stretch>
                  </pic:blipFill>
                  <pic:spPr>
                    <a:xfrm>
                      <a:off x="0" y="0"/>
                      <a:ext cx="400812" cy="437388"/>
                    </a:xfrm>
                    <a:prstGeom prst="rect">
                      <a:avLst/>
                    </a:prstGeom>
                  </pic:spPr>
                </pic:pic>
              </a:graphicData>
            </a:graphic>
          </wp:inline>
        </w:drawing>
      </w:r>
      <w:r>
        <w:rPr>
          <w:rFonts w:ascii="Tahoma" w:eastAsia="Tahoma" w:hAnsi="Tahoma" w:cs="Tahoma"/>
          <w:b/>
          <w:sz w:val="22"/>
        </w:rPr>
        <w:t xml:space="preserve"> </w:t>
      </w:r>
    </w:p>
    <w:p w:rsidR="004B43A7" w:rsidRDefault="004B4380">
      <w:pPr>
        <w:spacing w:after="32" w:line="240" w:lineRule="auto"/>
        <w:ind w:left="10" w:right="-15"/>
        <w:jc w:val="center"/>
      </w:pPr>
      <w:r>
        <w:rPr>
          <w:rFonts w:ascii="Verdana" w:eastAsia="Verdana" w:hAnsi="Verdana" w:cs="Verdana"/>
          <w:b/>
          <w:sz w:val="18"/>
        </w:rPr>
        <w:t xml:space="preserve">Ministero dell’istruzione, dell’università e della ricerca </w:t>
      </w:r>
    </w:p>
    <w:p w:rsidR="004B43A7" w:rsidRDefault="004B4380">
      <w:pPr>
        <w:spacing w:after="32" w:line="240" w:lineRule="auto"/>
        <w:ind w:left="10" w:right="-15"/>
        <w:jc w:val="center"/>
      </w:pPr>
      <w:r>
        <w:rPr>
          <w:rFonts w:ascii="Verdana" w:eastAsia="Verdana" w:hAnsi="Verdana" w:cs="Verdana"/>
          <w:b/>
          <w:sz w:val="18"/>
        </w:rPr>
        <w:t>ISTITUTO COMPRENSIVO “</w:t>
      </w:r>
      <w:proofErr w:type="spellStart"/>
      <w:r>
        <w:rPr>
          <w:rFonts w:ascii="Verdana" w:eastAsia="Verdana" w:hAnsi="Verdana" w:cs="Verdana"/>
          <w:b/>
          <w:sz w:val="18"/>
        </w:rPr>
        <w:t>G.Romanino</w:t>
      </w:r>
      <w:proofErr w:type="spellEnd"/>
      <w:r>
        <w:rPr>
          <w:rFonts w:ascii="Verdana" w:eastAsia="Verdana" w:hAnsi="Verdana" w:cs="Verdana"/>
          <w:b/>
          <w:sz w:val="18"/>
        </w:rPr>
        <w:t xml:space="preserve">” </w:t>
      </w:r>
    </w:p>
    <w:p w:rsidR="004B43A7" w:rsidRDefault="004B4380">
      <w:pPr>
        <w:spacing w:after="32" w:line="240" w:lineRule="auto"/>
        <w:ind w:left="0" w:firstLine="0"/>
        <w:jc w:val="center"/>
      </w:pPr>
      <w:proofErr w:type="gramStart"/>
      <w:r>
        <w:rPr>
          <w:rFonts w:ascii="Verdana" w:eastAsia="Verdana" w:hAnsi="Verdana" w:cs="Verdana"/>
          <w:sz w:val="18"/>
        </w:rPr>
        <w:t>Via  Ripa</w:t>
      </w:r>
      <w:proofErr w:type="gramEnd"/>
      <w:r>
        <w:rPr>
          <w:rFonts w:ascii="Verdana" w:eastAsia="Verdana" w:hAnsi="Verdana" w:cs="Verdana"/>
          <w:sz w:val="18"/>
        </w:rPr>
        <w:t xml:space="preserve">,2 - 25040 Bienno (BS) </w:t>
      </w:r>
    </w:p>
    <w:p w:rsidR="004B43A7" w:rsidRDefault="004B4380">
      <w:pPr>
        <w:spacing w:after="0" w:line="247" w:lineRule="auto"/>
        <w:ind w:left="3048" w:right="1743" w:hanging="857"/>
        <w:jc w:val="left"/>
      </w:pPr>
      <w:proofErr w:type="gramStart"/>
      <w:r>
        <w:rPr>
          <w:rFonts w:ascii="Verdana" w:eastAsia="Verdana" w:hAnsi="Verdana" w:cs="Verdana"/>
          <w:sz w:val="18"/>
        </w:rPr>
        <w:t>Codice  meccanografico</w:t>
      </w:r>
      <w:proofErr w:type="gramEnd"/>
      <w:r>
        <w:rPr>
          <w:rFonts w:ascii="Verdana" w:eastAsia="Verdana" w:hAnsi="Verdana" w:cs="Verdana"/>
          <w:sz w:val="18"/>
        </w:rPr>
        <w:t xml:space="preserve">: BSIC83700x - CF: 90011950178 TEL. 0364/40062  - FAX  0364/306719 </w:t>
      </w:r>
    </w:p>
    <w:p w:rsidR="004B43A7" w:rsidRDefault="004B4380">
      <w:pPr>
        <w:spacing w:after="6" w:line="276" w:lineRule="auto"/>
        <w:ind w:left="0" w:firstLine="0"/>
        <w:jc w:val="center"/>
      </w:pPr>
      <w:r>
        <w:rPr>
          <w:rFonts w:ascii="Verdana" w:eastAsia="Verdana" w:hAnsi="Verdana" w:cs="Verdana"/>
          <w:sz w:val="4"/>
        </w:rPr>
        <w:t xml:space="preserve"> </w:t>
      </w:r>
    </w:p>
    <w:tbl>
      <w:tblPr>
        <w:tblStyle w:val="TableGrid"/>
        <w:tblW w:w="10032" w:type="dxa"/>
        <w:tblInd w:w="-194" w:type="dxa"/>
        <w:tblCellMar>
          <w:left w:w="106" w:type="dxa"/>
          <w:right w:w="115" w:type="dxa"/>
        </w:tblCellMar>
        <w:tblLook w:val="04A0" w:firstRow="1" w:lastRow="0" w:firstColumn="1" w:lastColumn="0" w:noHBand="0" w:noVBand="1"/>
      </w:tblPr>
      <w:tblGrid>
        <w:gridCol w:w="2405"/>
        <w:gridCol w:w="4704"/>
        <w:gridCol w:w="2923"/>
      </w:tblGrid>
      <w:tr w:rsidR="004B43A7" w:rsidRPr="00A447CD">
        <w:trPr>
          <w:trHeight w:val="593"/>
        </w:trPr>
        <w:tc>
          <w:tcPr>
            <w:tcW w:w="2405" w:type="dxa"/>
            <w:tcBorders>
              <w:top w:val="single" w:sz="4" w:space="0" w:color="000000"/>
              <w:left w:val="single" w:sz="4" w:space="0" w:color="000000"/>
              <w:bottom w:val="single" w:sz="4" w:space="0" w:color="000000"/>
              <w:right w:val="single" w:sz="4" w:space="0" w:color="000000"/>
            </w:tcBorders>
            <w:vAlign w:val="center"/>
          </w:tcPr>
          <w:p w:rsidR="004B43A7" w:rsidRDefault="004B4380">
            <w:pPr>
              <w:spacing w:after="0" w:line="276" w:lineRule="auto"/>
              <w:ind w:left="2" w:firstLine="0"/>
              <w:jc w:val="left"/>
            </w:pPr>
            <w:r>
              <w:rPr>
                <w:rFonts w:ascii="Verdana" w:eastAsia="Verdana" w:hAnsi="Verdana" w:cs="Verdana"/>
                <w:color w:val="0000FF"/>
                <w:sz w:val="16"/>
                <w:u w:val="single" w:color="0000FF"/>
              </w:rPr>
              <w:t>http://www.icbienno.edu.it</w:t>
            </w:r>
            <w:r>
              <w:rPr>
                <w:rFonts w:ascii="Verdana" w:eastAsia="Verdana" w:hAnsi="Verdana" w:cs="Verdana"/>
                <w:b/>
                <w:sz w:val="16"/>
              </w:rPr>
              <w:t xml:space="preserve"> </w:t>
            </w:r>
          </w:p>
        </w:tc>
        <w:tc>
          <w:tcPr>
            <w:tcW w:w="4704" w:type="dxa"/>
            <w:tcBorders>
              <w:top w:val="single" w:sz="4" w:space="0" w:color="000000"/>
              <w:left w:val="single" w:sz="4" w:space="0" w:color="000000"/>
              <w:bottom w:val="single" w:sz="4" w:space="0" w:color="000000"/>
              <w:right w:val="single" w:sz="4" w:space="0" w:color="000000"/>
            </w:tcBorders>
          </w:tcPr>
          <w:p w:rsidR="004B43A7" w:rsidRDefault="004B4380">
            <w:pPr>
              <w:spacing w:after="18" w:line="246" w:lineRule="auto"/>
              <w:ind w:left="379" w:right="351" w:firstLine="0"/>
              <w:jc w:val="center"/>
            </w:pPr>
            <w:proofErr w:type="gramStart"/>
            <w:r>
              <w:rPr>
                <w:rFonts w:ascii="Verdana" w:eastAsia="Verdana" w:hAnsi="Verdana" w:cs="Verdana"/>
                <w:b/>
                <w:i/>
                <w:sz w:val="16"/>
              </w:rPr>
              <w:t>e-mail</w:t>
            </w:r>
            <w:proofErr w:type="gramEnd"/>
            <w:r>
              <w:rPr>
                <w:rFonts w:ascii="Verdana" w:eastAsia="Verdana" w:hAnsi="Verdana" w:cs="Verdana"/>
                <w:b/>
                <w:i/>
                <w:sz w:val="16"/>
              </w:rPr>
              <w:t>:</w:t>
            </w:r>
            <w:r>
              <w:rPr>
                <w:rFonts w:ascii="Verdana" w:eastAsia="Verdana" w:hAnsi="Verdana" w:cs="Verdana"/>
                <w:sz w:val="16"/>
              </w:rPr>
              <w:t xml:space="preserve"> </w:t>
            </w:r>
            <w:r>
              <w:rPr>
                <w:rFonts w:ascii="Verdana" w:eastAsia="Verdana" w:hAnsi="Verdana" w:cs="Verdana"/>
                <w:color w:val="0000FF"/>
                <w:sz w:val="16"/>
                <w:u w:val="single" w:color="0000FF"/>
              </w:rPr>
              <w:t>bsic83700x@istruzione.it</w:t>
            </w:r>
            <w:r>
              <w:rPr>
                <w:rFonts w:ascii="Verdana" w:eastAsia="Verdana" w:hAnsi="Verdana" w:cs="Verdana"/>
                <w:sz w:val="16"/>
              </w:rPr>
              <w:t xml:space="preserve"> codice univoco per la fatturazione elettronica: </w:t>
            </w:r>
          </w:p>
          <w:p w:rsidR="004B43A7" w:rsidRDefault="004B4380">
            <w:pPr>
              <w:spacing w:after="0" w:line="276" w:lineRule="auto"/>
              <w:ind w:left="0" w:firstLine="0"/>
              <w:jc w:val="center"/>
            </w:pPr>
            <w:r>
              <w:rPr>
                <w:rFonts w:ascii="Verdana" w:eastAsia="Verdana" w:hAnsi="Verdana" w:cs="Verdana"/>
                <w:b/>
                <w:sz w:val="16"/>
              </w:rPr>
              <w:t>UFFYSW</w:t>
            </w:r>
            <w:r>
              <w:rPr>
                <w:rFonts w:ascii="Verdana" w:eastAsia="Verdana" w:hAnsi="Verdana" w:cs="Verdana"/>
                <w:sz w:val="16"/>
              </w:rPr>
              <w:t xml:space="preserve"> </w:t>
            </w:r>
          </w:p>
        </w:tc>
        <w:tc>
          <w:tcPr>
            <w:tcW w:w="2923" w:type="dxa"/>
            <w:tcBorders>
              <w:top w:val="single" w:sz="4" w:space="0" w:color="000000"/>
              <w:left w:val="single" w:sz="4" w:space="0" w:color="000000"/>
              <w:bottom w:val="single" w:sz="4" w:space="0" w:color="000000"/>
              <w:right w:val="single" w:sz="4" w:space="0" w:color="000000"/>
            </w:tcBorders>
            <w:vAlign w:val="center"/>
          </w:tcPr>
          <w:p w:rsidR="004B43A7" w:rsidRPr="004B4380" w:rsidRDefault="004B4380">
            <w:pPr>
              <w:spacing w:after="0" w:line="276" w:lineRule="auto"/>
              <w:ind w:left="0" w:firstLine="708"/>
              <w:jc w:val="left"/>
              <w:rPr>
                <w:lang w:val="en-US"/>
              </w:rPr>
            </w:pPr>
            <w:r w:rsidRPr="004B4380">
              <w:rPr>
                <w:rFonts w:ascii="Verdana" w:eastAsia="Verdana" w:hAnsi="Verdana" w:cs="Verdana"/>
                <w:sz w:val="16"/>
                <w:lang w:val="en-US"/>
              </w:rPr>
              <w:t xml:space="preserve">P.E.C: </w:t>
            </w:r>
            <w:r w:rsidRPr="004B4380">
              <w:rPr>
                <w:rFonts w:ascii="Verdana" w:eastAsia="Verdana" w:hAnsi="Verdana" w:cs="Verdana"/>
                <w:color w:val="0000FF"/>
                <w:sz w:val="16"/>
                <w:lang w:val="en-US"/>
              </w:rPr>
              <w:t>bsic83700x@pec.istruzione.it</w:t>
            </w:r>
            <w:r w:rsidRPr="004B4380">
              <w:rPr>
                <w:rFonts w:ascii="Verdana" w:eastAsia="Verdana" w:hAnsi="Verdana" w:cs="Verdana"/>
                <w:sz w:val="16"/>
                <w:lang w:val="en-US"/>
              </w:rPr>
              <w:t xml:space="preserve"> </w:t>
            </w:r>
            <w:r w:rsidRPr="004B4380">
              <w:rPr>
                <w:rFonts w:ascii="Verdana" w:eastAsia="Verdana" w:hAnsi="Verdana" w:cs="Verdana"/>
                <w:color w:val="0000FF"/>
                <w:sz w:val="16"/>
                <w:lang w:val="en-US"/>
              </w:rPr>
              <w:t xml:space="preserve"> </w:t>
            </w:r>
          </w:p>
        </w:tc>
      </w:tr>
    </w:tbl>
    <w:p w:rsidR="00A447CD" w:rsidRDefault="00A447CD" w:rsidP="00A447CD">
      <w:pPr>
        <w:spacing w:after="170" w:line="240" w:lineRule="auto"/>
        <w:ind w:left="0" w:firstLine="0"/>
        <w:jc w:val="left"/>
        <w:rPr>
          <w:b/>
          <w:sz w:val="24"/>
          <w:lang w:val="en-US"/>
        </w:rPr>
      </w:pPr>
    </w:p>
    <w:p w:rsidR="004B43A7" w:rsidRPr="00A447CD" w:rsidRDefault="00A447CD" w:rsidP="00A447CD">
      <w:pPr>
        <w:spacing w:after="170" w:line="240" w:lineRule="auto"/>
        <w:ind w:left="0" w:firstLine="0"/>
        <w:jc w:val="left"/>
      </w:pPr>
      <w:r w:rsidRPr="00A447CD">
        <w:rPr>
          <w:b/>
          <w:sz w:val="24"/>
        </w:rPr>
        <w:t>Prot.</w:t>
      </w:r>
      <w:r w:rsidR="00AC5DC5">
        <w:rPr>
          <w:b/>
          <w:sz w:val="24"/>
        </w:rPr>
        <w:t>1416</w:t>
      </w:r>
      <w:r>
        <w:rPr>
          <w:b/>
          <w:sz w:val="24"/>
        </w:rPr>
        <w:t xml:space="preserve"> / VI.3</w:t>
      </w:r>
      <w:r>
        <w:rPr>
          <w:b/>
          <w:sz w:val="24"/>
        </w:rPr>
        <w:tab/>
      </w:r>
      <w:r>
        <w:rPr>
          <w:b/>
          <w:sz w:val="24"/>
        </w:rPr>
        <w:tab/>
      </w:r>
      <w:r>
        <w:rPr>
          <w:b/>
          <w:sz w:val="24"/>
        </w:rPr>
        <w:tab/>
      </w:r>
      <w:r>
        <w:rPr>
          <w:b/>
          <w:sz w:val="24"/>
        </w:rPr>
        <w:tab/>
      </w:r>
      <w:r>
        <w:rPr>
          <w:b/>
          <w:sz w:val="24"/>
        </w:rPr>
        <w:tab/>
      </w:r>
      <w:r>
        <w:rPr>
          <w:b/>
          <w:sz w:val="24"/>
        </w:rPr>
        <w:tab/>
      </w:r>
      <w:bookmarkStart w:id="0" w:name="_GoBack"/>
      <w:bookmarkEnd w:id="0"/>
      <w:r>
        <w:rPr>
          <w:b/>
          <w:sz w:val="24"/>
        </w:rPr>
        <w:tab/>
      </w:r>
      <w:r>
        <w:rPr>
          <w:b/>
          <w:sz w:val="24"/>
        </w:rPr>
        <w:tab/>
      </w:r>
      <w:r>
        <w:rPr>
          <w:b/>
          <w:sz w:val="24"/>
        </w:rPr>
        <w:tab/>
      </w:r>
      <w:r w:rsidR="004B4380" w:rsidRPr="00A447CD">
        <w:rPr>
          <w:rFonts w:ascii="Arial" w:eastAsia="Arial" w:hAnsi="Arial" w:cs="Arial"/>
          <w:b/>
          <w:i/>
        </w:rPr>
        <w:t xml:space="preserve"> </w:t>
      </w:r>
      <w:r w:rsidR="002E7FCB">
        <w:rPr>
          <w:rFonts w:ascii="Arial" w:eastAsia="Arial" w:hAnsi="Arial" w:cs="Arial"/>
          <w:b/>
          <w:i/>
        </w:rPr>
        <w:t>Bienno,</w:t>
      </w:r>
      <w:r w:rsidR="00AC5DC5">
        <w:rPr>
          <w:rFonts w:ascii="Arial" w:eastAsia="Arial" w:hAnsi="Arial" w:cs="Arial"/>
          <w:b/>
          <w:i/>
        </w:rPr>
        <w:t>04/04/2019</w:t>
      </w:r>
      <w:r w:rsidR="004B4380">
        <w:rPr>
          <w:rFonts w:ascii="Arial" w:eastAsia="Arial" w:hAnsi="Arial" w:cs="Arial"/>
          <w:b/>
          <w:i/>
        </w:rPr>
        <w:t xml:space="preserve"> </w:t>
      </w:r>
    </w:p>
    <w:p w:rsidR="004B43A7" w:rsidRDefault="004B4380">
      <w:pPr>
        <w:spacing w:after="49" w:line="240" w:lineRule="auto"/>
        <w:ind w:left="0" w:firstLine="0"/>
        <w:jc w:val="left"/>
      </w:pPr>
      <w:r>
        <w:rPr>
          <w:rFonts w:ascii="Arial" w:eastAsia="Arial" w:hAnsi="Arial" w:cs="Arial"/>
          <w:b/>
          <w:i/>
        </w:rPr>
        <w:t xml:space="preserve"> </w:t>
      </w:r>
    </w:p>
    <w:p w:rsidR="004B43A7" w:rsidRDefault="004B4380">
      <w:pPr>
        <w:spacing w:after="45" w:line="240" w:lineRule="auto"/>
        <w:ind w:left="0" w:firstLine="0"/>
        <w:jc w:val="center"/>
      </w:pPr>
      <w:r>
        <w:rPr>
          <w:b/>
          <w:sz w:val="23"/>
        </w:rPr>
        <w:t xml:space="preserve"> </w:t>
      </w:r>
    </w:p>
    <w:p w:rsidR="004B43A7" w:rsidRDefault="004B4380">
      <w:pPr>
        <w:pStyle w:val="Titolo1"/>
      </w:pPr>
      <w:r>
        <w:t xml:space="preserve">INDICE </w:t>
      </w:r>
      <w:r w:rsidR="00AC5DC5">
        <w:t>DI TEMPESTIVITA’ DEI PAGAMENTI 1° TRIMESTRE 2019</w:t>
      </w:r>
      <w:r>
        <w:t xml:space="preserve"> </w:t>
      </w:r>
    </w:p>
    <w:p w:rsidR="004B43A7" w:rsidRDefault="004B4380">
      <w:pPr>
        <w:pStyle w:val="Titolo1"/>
      </w:pPr>
      <w:r>
        <w:t>(</w:t>
      </w:r>
      <w:proofErr w:type="gramStart"/>
      <w:r w:rsidR="00AC5DC5">
        <w:t>gennaio</w:t>
      </w:r>
      <w:proofErr w:type="gramEnd"/>
      <w:r w:rsidR="00AC5DC5">
        <w:t>-marzo</w:t>
      </w:r>
      <w:r w:rsidR="002E7FCB">
        <w:t xml:space="preserve"> </w:t>
      </w:r>
      <w:r w:rsidR="00AC5DC5">
        <w:t>2019</w:t>
      </w:r>
      <w:r>
        <w:t xml:space="preserve">) </w:t>
      </w:r>
    </w:p>
    <w:p w:rsidR="004B43A7" w:rsidRDefault="004B4380">
      <w:pPr>
        <w:spacing w:after="32" w:line="240" w:lineRule="auto"/>
        <w:ind w:left="0" w:firstLine="0"/>
        <w:jc w:val="left"/>
      </w:pPr>
      <w:r>
        <w:rPr>
          <w:b/>
          <w:sz w:val="23"/>
        </w:rPr>
        <w:t xml:space="preserve"> </w:t>
      </w:r>
    </w:p>
    <w:p w:rsidR="004B43A7" w:rsidRDefault="004B4380">
      <w:r>
        <w:t xml:space="preserve">L'art. 33 del D. </w:t>
      </w:r>
      <w:proofErr w:type="spellStart"/>
      <w:r>
        <w:t>Lgs</w:t>
      </w:r>
      <w:proofErr w:type="spellEnd"/>
      <w:r>
        <w:t xml:space="preserve"> n. 33 del 14/03/2013 prevede l'obbligo per le PA di pubblicare sul proprio sito web l'indicatore di tempestività dei pagamenti definito in termini di ritardo medio di pagamento ponderato in base all’importo delle fatture relative ad acquisti di beni, servizi e forniture. </w:t>
      </w:r>
    </w:p>
    <w:p w:rsidR="004B43A7" w:rsidRDefault="004B4380">
      <w:r>
        <w:t xml:space="preserve">Le modalità di calcolo dell’indicatore di tempestività dei pagamenti sono fornite dall’art. 9 del DPCM del 22/09/2014 pubblicato nella G.U. n. 265 del 14/11/2014. </w:t>
      </w:r>
    </w:p>
    <w:p w:rsidR="004B43A7" w:rsidRDefault="004B4380">
      <w:r>
        <w:t xml:space="preserve">L'indicatore viene calcolato come la somma, per ciascuna fattura emessa a titolo corrispettivo di una transazione commerciale o richiesta equivalente di pagamento, dei giorni effettivi intercorrenti tra la data di scadenza della fattura e la data di pagamento ai fornitori moltiplicata per l'importo dovuto, rapportata alla somma degli importi pagati nel periodo di riferimento. In caso di pagamento avvenuto prima della scadenza il calcolo dei giorni intercorrenti tra scadenza della fattura e data di pagamento verrà inserito nella tabella di calcolo con segno negativo. </w:t>
      </w:r>
    </w:p>
    <w:p w:rsidR="004B43A7" w:rsidRDefault="004B4380">
      <w:pPr>
        <w:spacing w:after="42" w:line="240" w:lineRule="auto"/>
        <w:ind w:left="0" w:firstLine="0"/>
        <w:jc w:val="left"/>
      </w:pPr>
      <w:r>
        <w:rPr>
          <w:rFonts w:ascii="Verdana" w:eastAsia="Verdana" w:hAnsi="Verdana" w:cs="Verdana"/>
        </w:rPr>
        <w:t xml:space="preserve"> </w:t>
      </w:r>
    </w:p>
    <w:p w:rsidR="004B43A7" w:rsidRDefault="004B4380">
      <w:pPr>
        <w:spacing w:after="55" w:line="240" w:lineRule="auto"/>
        <w:ind w:left="0" w:firstLine="0"/>
        <w:jc w:val="center"/>
      </w:pPr>
      <w:r>
        <w:rPr>
          <w:rFonts w:ascii="Verdana" w:eastAsia="Verdana" w:hAnsi="Verdana" w:cs="Verdana"/>
          <w:b/>
        </w:rPr>
        <w:t xml:space="preserve">INDICATORE </w:t>
      </w:r>
      <w:r w:rsidR="00AC5DC5">
        <w:rPr>
          <w:rFonts w:ascii="Verdana" w:eastAsia="Verdana" w:hAnsi="Verdana" w:cs="Verdana"/>
          <w:b/>
        </w:rPr>
        <w:t>DI TEMPESTIVITA’ DEI PAGAMENTI 1</w:t>
      </w:r>
      <w:r>
        <w:rPr>
          <w:rFonts w:ascii="Verdana" w:eastAsia="Verdana" w:hAnsi="Verdana" w:cs="Verdana"/>
          <w:b/>
        </w:rPr>
        <w:t>°</w:t>
      </w:r>
      <w:r w:rsidR="00AC5DC5">
        <w:rPr>
          <w:b/>
          <w:sz w:val="23"/>
        </w:rPr>
        <w:t xml:space="preserve"> TRIMESTRE 2019</w:t>
      </w:r>
      <w:r>
        <w:rPr>
          <w:b/>
          <w:sz w:val="23"/>
        </w:rPr>
        <w:t xml:space="preserve"> </w:t>
      </w:r>
    </w:p>
    <w:p w:rsidR="004B43A7" w:rsidRDefault="004B4380" w:rsidP="004B4380">
      <w:pPr>
        <w:pStyle w:val="Titolo1"/>
      </w:pPr>
      <w:r>
        <w:t xml:space="preserve">  (</w:t>
      </w:r>
      <w:proofErr w:type="gramStart"/>
      <w:r w:rsidR="00AC5DC5">
        <w:t>gennaio</w:t>
      </w:r>
      <w:proofErr w:type="gramEnd"/>
      <w:r w:rsidR="00AC5DC5">
        <w:t>-marzo 2019</w:t>
      </w:r>
      <w:r>
        <w:t xml:space="preserve">) </w:t>
      </w:r>
    </w:p>
    <w:p w:rsidR="004B43A7" w:rsidRDefault="004B4380">
      <w:pPr>
        <w:spacing w:after="11" w:line="276" w:lineRule="auto"/>
        <w:ind w:left="0" w:firstLine="0"/>
        <w:jc w:val="center"/>
      </w:pPr>
      <w:r>
        <w:rPr>
          <w:rFonts w:ascii="Verdana" w:eastAsia="Verdana" w:hAnsi="Verdana" w:cs="Verdana"/>
          <w:b/>
        </w:rPr>
        <w:t xml:space="preserve"> </w:t>
      </w:r>
    </w:p>
    <w:tbl>
      <w:tblPr>
        <w:tblStyle w:val="TableGrid"/>
        <w:tblW w:w="9625" w:type="dxa"/>
        <w:tblInd w:w="7" w:type="dxa"/>
        <w:tblCellMar>
          <w:left w:w="108" w:type="dxa"/>
          <w:right w:w="56" w:type="dxa"/>
        </w:tblCellMar>
        <w:tblLook w:val="04A0" w:firstRow="1" w:lastRow="0" w:firstColumn="1" w:lastColumn="0" w:noHBand="0" w:noVBand="1"/>
      </w:tblPr>
      <w:tblGrid>
        <w:gridCol w:w="4802"/>
        <w:gridCol w:w="4823"/>
      </w:tblGrid>
      <w:tr w:rsidR="004B43A7">
        <w:trPr>
          <w:trHeight w:val="239"/>
        </w:trPr>
        <w:tc>
          <w:tcPr>
            <w:tcW w:w="4802" w:type="dxa"/>
            <w:tcBorders>
              <w:top w:val="single" w:sz="4" w:space="0" w:color="000000"/>
              <w:left w:val="single" w:sz="4" w:space="0" w:color="000000"/>
              <w:bottom w:val="single" w:sz="4" w:space="0" w:color="000000"/>
              <w:right w:val="single" w:sz="4" w:space="0" w:color="000000"/>
            </w:tcBorders>
            <w:shd w:val="clear" w:color="auto" w:fill="D6E3BC"/>
          </w:tcPr>
          <w:p w:rsidR="004B43A7" w:rsidRDefault="004B4380">
            <w:pPr>
              <w:spacing w:after="0" w:line="276" w:lineRule="auto"/>
              <w:ind w:left="0" w:firstLine="0"/>
              <w:jc w:val="center"/>
            </w:pPr>
            <w:r>
              <w:t>Modalità di calcolo indicatore</w:t>
            </w:r>
            <w:r>
              <w:rPr>
                <w:sz w:val="22"/>
              </w:rPr>
              <w:t xml:space="preserve"> </w:t>
            </w:r>
          </w:p>
        </w:tc>
        <w:tc>
          <w:tcPr>
            <w:tcW w:w="4823" w:type="dxa"/>
            <w:tcBorders>
              <w:top w:val="single" w:sz="4" w:space="0" w:color="000000"/>
              <w:left w:val="single" w:sz="4" w:space="0" w:color="000000"/>
              <w:bottom w:val="single" w:sz="4" w:space="0" w:color="000000"/>
              <w:right w:val="single" w:sz="4" w:space="0" w:color="000000"/>
            </w:tcBorders>
            <w:shd w:val="clear" w:color="auto" w:fill="D6E3BC"/>
          </w:tcPr>
          <w:p w:rsidR="004B43A7" w:rsidRDefault="004B4380">
            <w:pPr>
              <w:spacing w:after="0" w:line="276" w:lineRule="auto"/>
              <w:ind w:left="0" w:firstLine="0"/>
              <w:jc w:val="center"/>
            </w:pPr>
            <w:r>
              <w:t>Indicatore</w:t>
            </w:r>
            <w:r>
              <w:rPr>
                <w:sz w:val="22"/>
              </w:rPr>
              <w:t xml:space="preserve"> </w:t>
            </w:r>
          </w:p>
        </w:tc>
      </w:tr>
      <w:tr w:rsidR="004B43A7">
        <w:trPr>
          <w:trHeight w:val="930"/>
        </w:trPr>
        <w:tc>
          <w:tcPr>
            <w:tcW w:w="4802" w:type="dxa"/>
            <w:tcBorders>
              <w:top w:val="single" w:sz="4" w:space="0" w:color="000000"/>
              <w:left w:val="single" w:sz="4" w:space="0" w:color="000000"/>
              <w:bottom w:val="single" w:sz="4" w:space="0" w:color="000000"/>
              <w:right w:val="single" w:sz="4" w:space="0" w:color="000000"/>
            </w:tcBorders>
            <w:shd w:val="clear" w:color="auto" w:fill="D6E3BC"/>
          </w:tcPr>
          <w:p w:rsidR="004B43A7" w:rsidRDefault="004B4380">
            <w:pPr>
              <w:spacing w:after="0" w:line="276" w:lineRule="auto"/>
              <w:ind w:left="0" w:firstLine="0"/>
            </w:pPr>
            <w:r>
              <w:rPr>
                <w:i/>
              </w:rPr>
              <w:t>Giorni effettivi intercorrenti tra la data di scadenza della fattura e la data di pagamento moltiplicata per l’importo dovuto, rapportata alla somma degli importi pagati nel periodo di riferimento.</w:t>
            </w:r>
            <w:r>
              <w:rPr>
                <w:i/>
                <w:sz w:val="22"/>
              </w:rPr>
              <w:t xml:space="preserve"> </w:t>
            </w:r>
          </w:p>
        </w:tc>
        <w:tc>
          <w:tcPr>
            <w:tcW w:w="4823" w:type="dxa"/>
            <w:tcBorders>
              <w:top w:val="single" w:sz="4" w:space="0" w:color="000000"/>
              <w:left w:val="single" w:sz="4" w:space="0" w:color="000000"/>
              <w:bottom w:val="single" w:sz="4" w:space="0" w:color="000000"/>
              <w:right w:val="single" w:sz="4" w:space="0" w:color="000000"/>
            </w:tcBorders>
            <w:shd w:val="clear" w:color="auto" w:fill="D6E3BC"/>
          </w:tcPr>
          <w:p w:rsidR="004B43A7" w:rsidRDefault="00AC5DC5">
            <w:pPr>
              <w:spacing w:after="0" w:line="276" w:lineRule="auto"/>
              <w:ind w:left="1080" w:firstLine="0"/>
              <w:jc w:val="left"/>
            </w:pPr>
            <w:r>
              <w:rPr>
                <w:rFonts w:ascii="Arial" w:eastAsia="Arial" w:hAnsi="Arial" w:cs="Arial"/>
                <w:b/>
                <w:sz w:val="28"/>
              </w:rPr>
              <w:t>-22.41</w:t>
            </w:r>
            <w:r w:rsidR="002E7FCB">
              <w:rPr>
                <w:rFonts w:ascii="Arial" w:eastAsia="Arial" w:hAnsi="Arial" w:cs="Arial"/>
                <w:b/>
                <w:sz w:val="28"/>
              </w:rPr>
              <w:t xml:space="preserve"> </w:t>
            </w:r>
            <w:r w:rsidR="004B4380">
              <w:rPr>
                <w:i/>
                <w:sz w:val="28"/>
              </w:rPr>
              <w:t xml:space="preserve">giorni </w:t>
            </w:r>
            <w:r w:rsidR="004B4380">
              <w:rPr>
                <w:i/>
                <w:sz w:val="18"/>
              </w:rPr>
              <w:t xml:space="preserve">(media ponderata) </w:t>
            </w:r>
          </w:p>
        </w:tc>
      </w:tr>
    </w:tbl>
    <w:p w:rsidR="004B43A7" w:rsidRDefault="004B4380">
      <w:pPr>
        <w:spacing w:after="94" w:line="240" w:lineRule="auto"/>
        <w:ind w:left="0" w:firstLine="0"/>
        <w:jc w:val="left"/>
      </w:pPr>
      <w:r>
        <w:rPr>
          <w:rFonts w:ascii="Calibri" w:eastAsia="Calibri" w:hAnsi="Calibri" w:cs="Calibri"/>
          <w:sz w:val="22"/>
        </w:rPr>
        <w:t xml:space="preserve"> </w:t>
      </w:r>
    </w:p>
    <w:p w:rsidR="004B43A7" w:rsidRDefault="004B4380">
      <w:pPr>
        <w:spacing w:after="39" w:line="240" w:lineRule="auto"/>
        <w:ind w:left="0" w:firstLine="0"/>
        <w:jc w:val="left"/>
      </w:pPr>
      <w:r>
        <w:t xml:space="preserve"> </w:t>
      </w:r>
    </w:p>
    <w:p w:rsidR="004B43A7" w:rsidRDefault="004B4380">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IL DIRIGENTE SCOLASTICO </w:t>
      </w:r>
    </w:p>
    <w:p w:rsidR="004B43A7" w:rsidRDefault="004B4380">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Dott.ssa Maria Raffaella Castagnaro </w:t>
      </w:r>
    </w:p>
    <w:p w:rsidR="004B43A7" w:rsidRDefault="004B4380" w:rsidP="004B4380">
      <w:pPr>
        <w:spacing w:after="0" w:line="229" w:lineRule="auto"/>
        <w:ind w:left="5664" w:firstLine="0"/>
      </w:pPr>
      <w:proofErr w:type="gramStart"/>
      <w:r>
        <w:rPr>
          <w:rFonts w:ascii="Tahoma" w:eastAsia="Tahoma" w:hAnsi="Tahoma" w:cs="Tahoma"/>
          <w:sz w:val="16"/>
        </w:rPr>
        <w:t>firma</w:t>
      </w:r>
      <w:proofErr w:type="gramEnd"/>
      <w:r>
        <w:rPr>
          <w:rFonts w:ascii="Tahoma" w:eastAsia="Tahoma" w:hAnsi="Tahoma" w:cs="Tahoma"/>
          <w:sz w:val="16"/>
        </w:rPr>
        <w:t xml:space="preserve"> autografa sostituita a mezzo stampa </w:t>
      </w:r>
      <w:r>
        <w:rPr>
          <w:sz w:val="16"/>
        </w:rPr>
        <w:t xml:space="preserve">ai sensi dell’art.   3 comma 2, del D.L. n. 39/93 3, </w:t>
      </w:r>
    </w:p>
    <w:sectPr w:rsidR="004B43A7">
      <w:pgSz w:w="11900" w:h="16840"/>
      <w:pgMar w:top="1440" w:right="1127" w:bottom="144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3A7"/>
    <w:rsid w:val="002E7FCB"/>
    <w:rsid w:val="004B4380"/>
    <w:rsid w:val="004B43A7"/>
    <w:rsid w:val="00A447CD"/>
    <w:rsid w:val="00AC5DC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277F07-2866-4D1E-9AD8-5AE6267BC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37" w:line="236" w:lineRule="auto"/>
      <w:ind w:left="-5" w:hanging="10"/>
      <w:jc w:val="both"/>
    </w:pPr>
    <w:rPr>
      <w:rFonts w:ascii="Times New Roman" w:eastAsia="Times New Roman" w:hAnsi="Times New Roman" w:cs="Times New Roman"/>
      <w:color w:val="000000"/>
      <w:sz w:val="20"/>
    </w:rPr>
  </w:style>
  <w:style w:type="paragraph" w:styleId="Titolo1">
    <w:name w:val="heading 1"/>
    <w:next w:val="Normale"/>
    <w:link w:val="Titolo1Carattere"/>
    <w:uiPriority w:val="9"/>
    <w:unhideWhenUsed/>
    <w:qFormat/>
    <w:pPr>
      <w:keepNext/>
      <w:keepLines/>
      <w:spacing w:after="37" w:line="240" w:lineRule="auto"/>
      <w:ind w:left="10" w:right="-15" w:hanging="10"/>
      <w:jc w:val="center"/>
      <w:outlineLvl w:val="0"/>
    </w:pPr>
    <w:rPr>
      <w:rFonts w:ascii="Times New Roman" w:eastAsia="Times New Roman" w:hAnsi="Times New Roman" w:cs="Times New Roman"/>
      <w:b/>
      <w:color w:val="000000"/>
      <w:sz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b/>
      <w:color w:val="000000"/>
      <w:sz w:val="23"/>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AC5DC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C5DC5"/>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314</Words>
  <Characters>1795</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cp:lastModifiedBy>Segreteria3</cp:lastModifiedBy>
  <cp:revision>7</cp:revision>
  <cp:lastPrinted>2019-04-04T07:36:00Z</cp:lastPrinted>
  <dcterms:created xsi:type="dcterms:W3CDTF">2019-03-26T12:06:00Z</dcterms:created>
  <dcterms:modified xsi:type="dcterms:W3CDTF">2019-04-04T07:36:00Z</dcterms:modified>
</cp:coreProperties>
</file>