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D24F46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2</w:t>
      </w:r>
      <w:r w:rsidR="008F1D85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062B51">
        <w:rPr>
          <w:rFonts w:ascii="Tahoma" w:hAnsi="Tahoma" w:cs="Tahoma"/>
          <w:sz w:val="22"/>
          <w:szCs w:val="22"/>
        </w:rPr>
        <w:t>4</w:t>
      </w:r>
      <w:r w:rsidR="008F1D85">
        <w:rPr>
          <w:rFonts w:ascii="Tahoma" w:hAnsi="Tahoma" w:cs="Tahoma"/>
          <w:sz w:val="22"/>
          <w:szCs w:val="22"/>
        </w:rPr>
        <w:t>3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8F1D85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8F1D85">
              <w:rPr>
                <w:rFonts w:ascii="Tahoma" w:hAnsi="Tahoma" w:cs="Tahoma"/>
                <w:sz w:val="22"/>
                <w:szCs w:val="22"/>
              </w:rPr>
              <w:t>Registr</w:t>
            </w:r>
            <w:r>
              <w:rPr>
                <w:rFonts w:ascii="Tahoma" w:hAnsi="Tahoma" w:cs="Tahoma"/>
                <w:sz w:val="22"/>
                <w:szCs w:val="22"/>
              </w:rPr>
              <w:t>i</w:t>
            </w:r>
            <w:r w:rsidRPr="008F1D85">
              <w:rPr>
                <w:rFonts w:ascii="Tahoma" w:hAnsi="Tahoma" w:cs="Tahoma"/>
                <w:sz w:val="22"/>
                <w:szCs w:val="22"/>
              </w:rPr>
              <w:t xml:space="preserve"> per esami licenza media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8F1D85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136</w:t>
            </w:r>
            <w:r w:rsidR="00062B51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93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8F1D85">
        <w:rPr>
          <w:rFonts w:ascii="Tahoma" w:hAnsi="Tahoma" w:cs="Tahoma"/>
          <w:b/>
          <w:sz w:val="22"/>
          <w:szCs w:val="22"/>
        </w:rPr>
        <w:t xml:space="preserve">Casa Editrice </w:t>
      </w:r>
      <w:proofErr w:type="spellStart"/>
      <w:r w:rsidR="008F1D85">
        <w:rPr>
          <w:rFonts w:ascii="Tahoma" w:hAnsi="Tahoma" w:cs="Tahoma"/>
          <w:b/>
          <w:sz w:val="22"/>
          <w:szCs w:val="22"/>
        </w:rPr>
        <w:t>Spaggiari</w:t>
      </w:r>
      <w:proofErr w:type="spellEnd"/>
      <w:r w:rsidR="008F1D85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8F1D85">
        <w:rPr>
          <w:rFonts w:ascii="Tahoma" w:hAnsi="Tahoma" w:cs="Tahoma"/>
          <w:b/>
          <w:sz w:val="22"/>
          <w:szCs w:val="22"/>
        </w:rPr>
        <w:t>S.p.a.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8F1D85">
        <w:rPr>
          <w:rFonts w:ascii="Tahoma" w:hAnsi="Tahoma" w:cs="Tahoma"/>
          <w:b/>
          <w:sz w:val="22"/>
          <w:szCs w:val="22"/>
        </w:rPr>
        <w:t>Parma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8F1D85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787E8E"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8F1D85">
        <w:rPr>
          <w:rFonts w:ascii="Tahoma" w:hAnsi="Tahoma" w:cs="Tahoma"/>
          <w:sz w:val="22"/>
          <w:szCs w:val="22"/>
        </w:rPr>
        <w:t>AMM.VO</w:t>
      </w:r>
      <w:proofErr w:type="gramEnd"/>
      <w:r w:rsidR="00787E8E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07EE0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24F46"/>
    <w:rsid w:val="00D3220A"/>
    <w:rsid w:val="00D32BBD"/>
    <w:rsid w:val="00D52333"/>
    <w:rsid w:val="00D77EB2"/>
    <w:rsid w:val="00D80633"/>
    <w:rsid w:val="00D919CA"/>
    <w:rsid w:val="00D9744E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2757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2016-05-02T10:33:00Z</cp:lastPrinted>
  <dcterms:created xsi:type="dcterms:W3CDTF">2016-05-07T10:44:00Z</dcterms:created>
  <dcterms:modified xsi:type="dcterms:W3CDTF">2016-05-07T10:44:00Z</dcterms:modified>
</cp:coreProperties>
</file>