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FB5E8" w14:textId="77777777" w:rsidR="006A7C34" w:rsidRPr="00EF3411" w:rsidRDefault="006A7C34"/>
    <w:p w14:paraId="507D48E1" w14:textId="66AE47E9" w:rsidR="006A7C34" w:rsidRPr="00EF3411" w:rsidRDefault="006A7C34" w:rsidP="006A7C34">
      <w:pPr>
        <w:rPr>
          <w:rFonts w:ascii="Calibri" w:eastAsia="Calibri" w:hAnsi="Calibri" w:cs="Calibri"/>
          <w:b/>
          <w:i/>
          <w:color w:val="4472C4"/>
          <w:u w:val="single"/>
        </w:rPr>
      </w:pPr>
      <w:r w:rsidRPr="00920983">
        <w:rPr>
          <w:rFonts w:ascii="Calibri" w:eastAsia="Calibri" w:hAnsi="Calibri" w:cs="Calibri"/>
          <w:i/>
          <w:color w:val="4472C4"/>
          <w:highlight w:val="cyan"/>
        </w:rPr>
        <w:t>NB</w:t>
      </w:r>
      <w:r w:rsidR="00920983">
        <w:rPr>
          <w:rFonts w:ascii="Calibri" w:eastAsia="Calibri" w:hAnsi="Calibri" w:cs="Calibri"/>
          <w:i/>
          <w:color w:val="4472C4"/>
          <w:highlight w:val="cyan"/>
        </w:rPr>
        <w:t>: le parti evidenziate</w:t>
      </w:r>
      <w:r w:rsidRPr="00920983">
        <w:rPr>
          <w:rFonts w:ascii="Calibri" w:eastAsia="Calibri" w:hAnsi="Calibri" w:cs="Calibri"/>
          <w:i/>
          <w:color w:val="4472C4"/>
          <w:highlight w:val="cyan"/>
        </w:rPr>
        <w:t xml:space="preserve"> si riferiscono a </w:t>
      </w:r>
      <w:r w:rsidR="00920983">
        <w:rPr>
          <w:rFonts w:ascii="Calibri" w:eastAsia="Calibri" w:hAnsi="Calibri" w:cs="Calibri"/>
          <w:i/>
          <w:color w:val="4472C4"/>
          <w:highlight w:val="cyan"/>
        </w:rPr>
        <w:t xml:space="preserve">sezioni </w:t>
      </w:r>
      <w:r w:rsidRPr="00920983">
        <w:rPr>
          <w:rFonts w:ascii="Calibri" w:eastAsia="Calibri" w:hAnsi="Calibri" w:cs="Calibri"/>
          <w:i/>
          <w:color w:val="4472C4"/>
          <w:highlight w:val="cyan"/>
        </w:rPr>
        <w:t xml:space="preserve">da completare a cura dell’istituto scolastico e ad indicazioni operative per la compilazione. </w:t>
      </w:r>
      <w:r w:rsidRPr="00920983">
        <w:rPr>
          <w:rFonts w:ascii="Calibri" w:eastAsia="Calibri" w:hAnsi="Calibri" w:cs="Calibri"/>
          <w:b/>
          <w:i/>
          <w:color w:val="4472C4"/>
          <w:highlight w:val="cyan"/>
          <w:u w:val="single"/>
        </w:rPr>
        <w:t>Ultimata la compilazione si ricorda di decolorarle</w:t>
      </w:r>
    </w:p>
    <w:p w14:paraId="7161C065" w14:textId="4CDB6C56" w:rsidR="006A7C34" w:rsidRPr="00EF3411" w:rsidRDefault="00C96EDC" w:rsidP="00C96EDC">
      <w:pPr>
        <w:tabs>
          <w:tab w:val="left" w:pos="6938"/>
        </w:tabs>
        <w:rPr>
          <w:rFonts w:ascii="Calibri" w:eastAsia="Calibri" w:hAnsi="Calibri" w:cs="Calibri"/>
        </w:rPr>
      </w:pPr>
      <w:r w:rsidRPr="00EF3411">
        <w:rPr>
          <w:rFonts w:ascii="Calibri" w:eastAsia="Calibri" w:hAnsi="Calibri" w:cs="Calibri"/>
        </w:rPr>
        <w:tab/>
      </w:r>
    </w:p>
    <w:tbl>
      <w:tblPr>
        <w:tblW w:w="9606" w:type="dxa"/>
        <w:tblLook w:val="04A0" w:firstRow="1" w:lastRow="0" w:firstColumn="1" w:lastColumn="0" w:noHBand="0" w:noVBand="1"/>
      </w:tblPr>
      <w:tblGrid>
        <w:gridCol w:w="4815"/>
        <w:gridCol w:w="4791"/>
      </w:tblGrid>
      <w:tr w:rsidR="00920983" w:rsidRPr="00920983" w14:paraId="5EA998F5" w14:textId="77777777" w:rsidTr="00F22338">
        <w:tc>
          <w:tcPr>
            <w:tcW w:w="4815" w:type="dxa"/>
            <w:shd w:val="clear" w:color="auto" w:fill="auto"/>
          </w:tcPr>
          <w:p w14:paraId="0CBD9FF2" w14:textId="77777777" w:rsidR="00920983" w:rsidRPr="00920983" w:rsidRDefault="00920983" w:rsidP="00920983">
            <w:pPr>
              <w:widowControl w:val="0"/>
              <w:tabs>
                <w:tab w:val="left" w:pos="6420"/>
              </w:tabs>
              <w:autoSpaceDE w:val="0"/>
              <w:autoSpaceDN w:val="0"/>
              <w:adjustRightInd w:val="0"/>
              <w:ind w:right="-20"/>
              <w:rPr>
                <w:rFonts w:ascii="Calibri" w:eastAsia="Calibri" w:hAnsi="Calibri" w:cs="Calibri"/>
              </w:rPr>
            </w:pPr>
            <w:r w:rsidRPr="00920983">
              <w:rPr>
                <w:rFonts w:ascii="Calibri" w:hAnsi="Calibri" w:cs="Calibri"/>
                <w:position w:val="1"/>
                <w:lang w:val="pt-BR"/>
              </w:rPr>
              <w:t>Prot.</w:t>
            </w:r>
            <w:r w:rsidRPr="00920983">
              <w:rPr>
                <w:rFonts w:ascii="Calibri" w:hAnsi="Calibri" w:cs="Calibri"/>
                <w:spacing w:val="-18"/>
                <w:position w:val="1"/>
                <w:lang w:val="pt-BR"/>
              </w:rPr>
              <w:t xml:space="preserve"> </w:t>
            </w:r>
            <w:r w:rsidRPr="00920983">
              <w:rPr>
                <w:rFonts w:ascii="Calibri" w:hAnsi="Calibri" w:cs="Calibri"/>
                <w:position w:val="1"/>
                <w:lang w:val="pt-BR"/>
              </w:rPr>
              <w:t>n</w:t>
            </w:r>
            <w:r w:rsidRPr="00920983">
              <w:rPr>
                <w:rFonts w:ascii="Calibri" w:hAnsi="Calibri" w:cs="Calibri"/>
                <w:spacing w:val="-7"/>
                <w:position w:val="1"/>
                <w:lang w:val="pt-BR"/>
              </w:rPr>
              <w:t xml:space="preserve"> </w:t>
            </w:r>
            <w:r w:rsidRPr="00920983">
              <w:rPr>
                <w:rFonts w:ascii="Calibri" w:hAnsi="Calibri" w:cs="Calibri"/>
                <w:spacing w:val="-7"/>
                <w:position w:val="1"/>
                <w:highlight w:val="cyan"/>
                <w:lang w:val="pt-BR"/>
              </w:rPr>
              <w:t>[...]</w:t>
            </w:r>
            <w:r w:rsidRPr="00920983">
              <w:rPr>
                <w:rFonts w:ascii="Calibri" w:hAnsi="Calibri" w:cs="Calibri"/>
                <w:spacing w:val="-7"/>
                <w:position w:val="1"/>
                <w:lang w:val="pt-BR"/>
              </w:rPr>
              <w:br/>
            </w:r>
            <w:r w:rsidRPr="00920983">
              <w:rPr>
                <w:rFonts w:ascii="Calibri" w:hAnsi="Calibri" w:cs="Calibri"/>
              </w:rPr>
              <w:t xml:space="preserve">Luogo e data </w:t>
            </w:r>
            <w:r w:rsidRPr="00920983">
              <w:rPr>
                <w:rFonts w:ascii="Calibri" w:hAnsi="Calibri" w:cs="Calibri"/>
                <w:spacing w:val="-7"/>
                <w:position w:val="1"/>
                <w:highlight w:val="cyan"/>
                <w:lang w:val="pt-BR"/>
              </w:rPr>
              <w:t>[...]</w:t>
            </w:r>
          </w:p>
        </w:tc>
        <w:tc>
          <w:tcPr>
            <w:tcW w:w="4791" w:type="dxa"/>
            <w:shd w:val="clear" w:color="auto" w:fill="auto"/>
          </w:tcPr>
          <w:p w14:paraId="61ADABED" w14:textId="77777777" w:rsidR="00920983" w:rsidRPr="00920983" w:rsidRDefault="00920983" w:rsidP="00920983">
            <w:pPr>
              <w:rPr>
                <w:rFonts w:ascii="Calibri" w:eastAsia="Calibri" w:hAnsi="Calibri" w:cs="Calibri"/>
              </w:rPr>
            </w:pPr>
          </w:p>
        </w:tc>
      </w:tr>
      <w:tr w:rsidR="00920983" w:rsidRPr="00920983" w14:paraId="24655820" w14:textId="77777777" w:rsidTr="00F22338">
        <w:tc>
          <w:tcPr>
            <w:tcW w:w="4815" w:type="dxa"/>
            <w:shd w:val="clear" w:color="auto" w:fill="auto"/>
          </w:tcPr>
          <w:p w14:paraId="2B5DE47E" w14:textId="77777777" w:rsidR="00920983" w:rsidRPr="00920983" w:rsidRDefault="00920983" w:rsidP="00920983">
            <w:pPr>
              <w:jc w:val="center"/>
              <w:rPr>
                <w:rFonts w:ascii="Calibri" w:eastAsia="Calibri" w:hAnsi="Calibri" w:cs="Calibri"/>
              </w:rPr>
            </w:pPr>
          </w:p>
        </w:tc>
        <w:tc>
          <w:tcPr>
            <w:tcW w:w="4791" w:type="dxa"/>
            <w:shd w:val="clear" w:color="auto" w:fill="auto"/>
          </w:tcPr>
          <w:p w14:paraId="4C13886B" w14:textId="77777777" w:rsidR="00920983" w:rsidRPr="00920983" w:rsidRDefault="00920983" w:rsidP="00920983">
            <w:pPr>
              <w:widowControl w:val="0"/>
              <w:tabs>
                <w:tab w:val="left" w:pos="6420"/>
              </w:tabs>
              <w:autoSpaceDE w:val="0"/>
              <w:autoSpaceDN w:val="0"/>
              <w:adjustRightInd w:val="0"/>
              <w:ind w:right="-20"/>
              <w:rPr>
                <w:rFonts w:ascii="Calibri" w:hAnsi="Calibri" w:cs="Calibri"/>
                <w:b/>
                <w:position w:val="1"/>
                <w:lang w:val="pt-BR"/>
              </w:rPr>
            </w:pPr>
            <w:r w:rsidRPr="00920983">
              <w:rPr>
                <w:rFonts w:ascii="Calibri" w:hAnsi="Calibri" w:cs="Calibri"/>
                <w:b/>
                <w:position w:val="1"/>
                <w:lang w:val="pt-BR"/>
              </w:rPr>
              <w:t xml:space="preserve">Pubblicato sul sito internet dell’Istituto nella sezione </w:t>
            </w:r>
            <w:r w:rsidRPr="00920983">
              <w:rPr>
                <w:rFonts w:ascii="Calibri" w:hAnsi="Calibri" w:cs="Calibri"/>
                <w:spacing w:val="-7"/>
                <w:position w:val="1"/>
                <w:highlight w:val="cyan"/>
                <w:lang w:val="pt-BR"/>
              </w:rPr>
              <w:t>[...]</w:t>
            </w:r>
          </w:p>
        </w:tc>
      </w:tr>
    </w:tbl>
    <w:p w14:paraId="4D125095" w14:textId="77777777" w:rsidR="006A7C34" w:rsidRDefault="006A7C34"/>
    <w:p w14:paraId="4E867E15" w14:textId="77777777" w:rsidR="00920983" w:rsidRDefault="00920983"/>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8628"/>
      </w:tblGrid>
      <w:tr w:rsidR="00C2246E" w:rsidRPr="00C2246E" w14:paraId="4DDE8652" w14:textId="77777777" w:rsidTr="00920983">
        <w:trPr>
          <w:trHeight w:val="761"/>
        </w:trPr>
        <w:tc>
          <w:tcPr>
            <w:tcW w:w="1016" w:type="dxa"/>
            <w:hideMark/>
          </w:tcPr>
          <w:p w14:paraId="269E38E2" w14:textId="77777777" w:rsidR="00C2246E" w:rsidRPr="00C2246E" w:rsidRDefault="00C2246E" w:rsidP="00C2246E">
            <w:pPr>
              <w:autoSpaceDE w:val="0"/>
              <w:spacing w:before="120" w:after="120"/>
              <w:jc w:val="both"/>
              <w:rPr>
                <w:rFonts w:ascii="Calibri" w:eastAsia="Calibri" w:hAnsi="Calibri" w:cs="Calibri"/>
                <w:b/>
                <w:bCs/>
                <w:iCs/>
              </w:rPr>
            </w:pPr>
            <w:r w:rsidRPr="00C2246E">
              <w:rPr>
                <w:rFonts w:ascii="Calibri" w:eastAsia="Calibri" w:hAnsi="Calibri" w:cs="Calibri"/>
                <w:b/>
              </w:rPr>
              <w:t>Oggetto:</w:t>
            </w:r>
          </w:p>
        </w:tc>
        <w:tc>
          <w:tcPr>
            <w:tcW w:w="8628" w:type="dxa"/>
            <w:hideMark/>
          </w:tcPr>
          <w:p w14:paraId="52060FAE" w14:textId="70D46DE8" w:rsidR="003C7F28" w:rsidRDefault="002A3181" w:rsidP="00FA1BE9">
            <w:pPr>
              <w:autoSpaceDE w:val="0"/>
              <w:spacing w:before="120" w:after="120"/>
              <w:jc w:val="both"/>
              <w:rPr>
                <w:rFonts w:ascii="Calibri" w:eastAsia="Calibri" w:hAnsi="Calibri" w:cs="Calibri"/>
                <w:i/>
                <w:color w:val="365F91" w:themeColor="accent1" w:themeShade="BF"/>
              </w:rPr>
            </w:pPr>
            <w:r w:rsidRPr="00414239">
              <w:rPr>
                <w:rFonts w:ascii="Calibri" w:eastAsia="Calibri" w:hAnsi="Calibri" w:cs="Calibri"/>
                <w:b/>
                <w:bCs/>
              </w:rPr>
              <w:t xml:space="preserve">Determina </w:t>
            </w:r>
            <w:r>
              <w:rPr>
                <w:rFonts w:ascii="Calibri" w:eastAsia="Calibri" w:hAnsi="Calibri" w:cs="Calibri"/>
                <w:b/>
                <w:bCs/>
              </w:rPr>
              <w:t xml:space="preserve">di aggiudicazione, ad Affidamento Diretto, </w:t>
            </w:r>
            <w:r w:rsidRPr="00414239">
              <w:rPr>
                <w:rFonts w:ascii="Calibri" w:eastAsia="Calibri" w:hAnsi="Calibri" w:cs="Calibri"/>
                <w:b/>
                <w:bCs/>
              </w:rPr>
              <w:t xml:space="preserve">ai sensi </w:t>
            </w:r>
            <w:bookmarkStart w:id="0" w:name="_Hlk8924709"/>
            <w:r w:rsidRPr="00414239">
              <w:rPr>
                <w:rFonts w:ascii="Calibri" w:eastAsia="Calibri" w:hAnsi="Calibri" w:cs="Calibri"/>
                <w:b/>
                <w:bCs/>
              </w:rPr>
              <w:t>del</w:t>
            </w:r>
            <w:r>
              <w:rPr>
                <w:rFonts w:ascii="Calibri" w:eastAsia="Calibri" w:hAnsi="Calibri" w:cs="Calibri"/>
                <w:b/>
                <w:bCs/>
              </w:rPr>
              <w:t xml:space="preserve"> D. Lgs. 18 aprile 2016, n. </w:t>
            </w:r>
            <w:r w:rsidRPr="006D35A2">
              <w:rPr>
                <w:rFonts w:ascii="Calibri" w:eastAsia="Calibri" w:hAnsi="Calibri" w:cs="Calibri"/>
                <w:b/>
                <w:bCs/>
              </w:rPr>
              <w:t>50</w:t>
            </w:r>
            <w:r>
              <w:rPr>
                <w:rFonts w:ascii="Calibri" w:eastAsia="Calibri" w:hAnsi="Calibri" w:cs="Calibri"/>
                <w:b/>
                <w:bCs/>
              </w:rPr>
              <w:t xml:space="preserve"> così come modificato dall’Art. 1 della L. 11.9.2020 N. 120 (decreto semplificazioni) e dall’Art. 51 del D.L. 77/2021 (decreto semplificazioni-bis) </w:t>
            </w:r>
            <w:bookmarkEnd w:id="0"/>
            <w:r w:rsidRPr="00414239">
              <w:rPr>
                <w:rFonts w:ascii="Calibri" w:eastAsia="Calibri" w:hAnsi="Calibri" w:cs="Calibri"/>
                <w:b/>
                <w:bCs/>
              </w:rPr>
              <w:t xml:space="preserve">per l’affidamento </w:t>
            </w:r>
            <w:r>
              <w:rPr>
                <w:rFonts w:ascii="Calibri" w:eastAsia="Calibri" w:hAnsi="Calibri" w:cs="Calibri"/>
                <w:b/>
                <w:bCs/>
              </w:rPr>
              <w:t>dei servizi assicurativi:</w:t>
            </w:r>
            <w:r w:rsidR="003C7F28">
              <w:rPr>
                <w:rFonts w:ascii="Calibri" w:eastAsia="Calibri" w:hAnsi="Calibri" w:cs="Calibri"/>
                <w:b/>
                <w:bCs/>
              </w:rPr>
              <w:t xml:space="preserve"> Responsabilità Civile, Infortuni, Assistenza, Tutela Legale, in unico lotto</w:t>
            </w:r>
            <w:r w:rsidR="003C7F28" w:rsidRPr="00C2246E">
              <w:rPr>
                <w:rFonts w:ascii="Calibri" w:eastAsia="Calibri" w:hAnsi="Calibri" w:cs="Calibri"/>
                <w:b/>
                <w:bCs/>
              </w:rPr>
              <w:t xml:space="preserve">, </w:t>
            </w:r>
            <w:r w:rsidR="003C7F28" w:rsidRPr="00414239">
              <w:rPr>
                <w:rFonts w:ascii="Calibri" w:eastAsia="Calibri" w:hAnsi="Calibri" w:cs="Calibri"/>
                <w:b/>
                <w:bCs/>
              </w:rPr>
              <w:t>per un impo</w:t>
            </w:r>
            <w:r w:rsidR="003C7F28">
              <w:rPr>
                <w:rFonts w:ascii="Calibri" w:eastAsia="Calibri" w:hAnsi="Calibri" w:cs="Calibri"/>
                <w:b/>
                <w:bCs/>
              </w:rPr>
              <w:t xml:space="preserve">rto pari a complessivi </w:t>
            </w:r>
            <w:r w:rsidR="003C7F28" w:rsidRPr="00976626">
              <w:rPr>
                <w:rFonts w:ascii="Calibri" w:eastAsia="Calibri" w:hAnsi="Calibri" w:cs="Calibri"/>
                <w:b/>
                <w:bCs/>
              </w:rPr>
              <w:t xml:space="preserve">€ </w:t>
            </w:r>
            <w:r w:rsidR="006A7C34" w:rsidRPr="00920983">
              <w:rPr>
                <w:rFonts w:ascii="Calibri" w:eastAsia="Calibri" w:hAnsi="Calibri" w:cs="Calibri"/>
                <w:b/>
                <w:bCs/>
                <w:highlight w:val="cyan"/>
              </w:rPr>
              <w:t>[…] (lettere)</w:t>
            </w:r>
            <w:r w:rsidR="00FA1BE9">
              <w:rPr>
                <w:rFonts w:ascii="Calibri" w:eastAsia="Calibri" w:hAnsi="Calibri" w:cs="Calibri"/>
                <w:b/>
                <w:bCs/>
              </w:rPr>
              <w:t xml:space="preserve"> </w:t>
            </w:r>
            <w:r w:rsidR="00FA1BE9" w:rsidRPr="00920983">
              <w:rPr>
                <w:rFonts w:ascii="Calibri" w:eastAsia="Calibri" w:hAnsi="Calibri" w:cs="Calibri"/>
                <w:i/>
                <w:color w:val="365F91" w:themeColor="accent1" w:themeShade="BF"/>
                <w:highlight w:val="cyan"/>
              </w:rPr>
              <w:t xml:space="preserve">(premio pro-capite x </w:t>
            </w:r>
            <w:r w:rsidR="00976626" w:rsidRPr="00920983">
              <w:rPr>
                <w:rFonts w:ascii="Calibri" w:eastAsia="Calibri" w:hAnsi="Calibri" w:cs="Calibri"/>
                <w:i/>
                <w:color w:val="365F91" w:themeColor="accent1" w:themeShade="BF"/>
                <w:highlight w:val="cyan"/>
              </w:rPr>
              <w:t>nr.</w:t>
            </w:r>
            <w:r w:rsidR="00FA1BE9" w:rsidRPr="00920983">
              <w:rPr>
                <w:rFonts w:ascii="Calibri" w:eastAsia="Calibri" w:hAnsi="Calibri" w:cs="Calibri"/>
                <w:i/>
                <w:color w:val="365F91" w:themeColor="accent1" w:themeShade="BF"/>
                <w:highlight w:val="cyan"/>
              </w:rPr>
              <w:t xml:space="preserve"> assicurati x numero anni</w:t>
            </w:r>
            <w:r w:rsidR="00C41443" w:rsidRPr="00920983">
              <w:rPr>
                <w:rFonts w:ascii="Calibri" w:eastAsia="Calibri" w:hAnsi="Calibri" w:cs="Calibri"/>
                <w:i/>
                <w:color w:val="365F91" w:themeColor="accent1" w:themeShade="BF"/>
                <w:highlight w:val="cyan"/>
              </w:rPr>
              <w:t>)</w:t>
            </w:r>
          </w:p>
          <w:p w14:paraId="1B9B69B8" w14:textId="77777777" w:rsidR="003C7F28" w:rsidRDefault="006A7C34" w:rsidP="00FA1BE9">
            <w:pPr>
              <w:autoSpaceDE w:val="0"/>
              <w:spacing w:before="120" w:after="120"/>
              <w:jc w:val="both"/>
              <w:rPr>
                <w:rFonts w:ascii="Calibri" w:eastAsia="Calibri" w:hAnsi="Calibri" w:cs="Calibri"/>
                <w:b/>
                <w:bCs/>
              </w:rPr>
            </w:pPr>
            <w:r w:rsidRPr="006A7C34">
              <w:rPr>
                <w:rFonts w:ascii="Calibri" w:eastAsia="Calibri" w:hAnsi="Calibri" w:cs="Calibri"/>
                <w:b/>
              </w:rPr>
              <w:t xml:space="preserve">con </w:t>
            </w:r>
            <w:r w:rsidR="00FA1BE9" w:rsidRPr="006A7C34">
              <w:rPr>
                <w:rFonts w:ascii="Calibri" w:eastAsia="Calibri" w:hAnsi="Calibri" w:cs="Calibri"/>
                <w:b/>
                <w:bCs/>
              </w:rPr>
              <w:t>decorrenza</w:t>
            </w:r>
            <w:r w:rsidR="00FA1BE9" w:rsidRPr="009F5F8E">
              <w:rPr>
                <w:rFonts w:ascii="Calibri" w:eastAsia="Calibri" w:hAnsi="Calibri" w:cs="Calibri"/>
                <w:b/>
                <w:bCs/>
              </w:rPr>
              <w:t xml:space="preserve"> dalle ore 24:00 del </w:t>
            </w:r>
            <w:r w:rsidRPr="00920983">
              <w:rPr>
                <w:rFonts w:ascii="Calibri" w:eastAsia="Calibri" w:hAnsi="Calibri" w:cs="Calibri"/>
                <w:b/>
                <w:bCs/>
                <w:highlight w:val="cyan"/>
              </w:rPr>
              <w:t>gg/mm/aaaa</w:t>
            </w:r>
            <w:r w:rsidR="006B630B">
              <w:rPr>
                <w:rFonts w:ascii="Calibri" w:eastAsia="Calibri" w:hAnsi="Calibri" w:cs="Calibri"/>
                <w:b/>
                <w:bCs/>
              </w:rPr>
              <w:t xml:space="preserve"> </w:t>
            </w:r>
            <w:r w:rsidR="00FA1BE9" w:rsidRPr="009F5F8E">
              <w:rPr>
                <w:rFonts w:ascii="Calibri" w:eastAsia="Calibri" w:hAnsi="Calibri" w:cs="Calibri"/>
                <w:b/>
                <w:bCs/>
              </w:rPr>
              <w:t xml:space="preserve">e scadenza alle ore 24:00 del </w:t>
            </w:r>
            <w:r w:rsidRPr="00920983">
              <w:rPr>
                <w:rFonts w:ascii="Calibri" w:eastAsia="Calibri" w:hAnsi="Calibri" w:cs="Calibri"/>
                <w:b/>
                <w:bCs/>
                <w:highlight w:val="cyan"/>
              </w:rPr>
              <w:t>gg/mm/aaaa</w:t>
            </w:r>
          </w:p>
          <w:p w14:paraId="1EF8F87E" w14:textId="343376DC" w:rsidR="00FA1BE9" w:rsidRPr="006A7C34" w:rsidRDefault="00FA1BE9" w:rsidP="00FA1BE9">
            <w:pPr>
              <w:autoSpaceDE w:val="0"/>
              <w:spacing w:before="120" w:after="120"/>
              <w:jc w:val="both"/>
              <w:rPr>
                <w:rFonts w:ascii="Calibri" w:eastAsia="Calibri" w:hAnsi="Calibri" w:cs="Calibri"/>
              </w:rPr>
            </w:pPr>
            <w:r w:rsidRPr="009F5F8E">
              <w:rPr>
                <w:rFonts w:ascii="Calibri" w:eastAsia="Calibri" w:hAnsi="Calibri" w:cs="Calibri"/>
                <w:b/>
                <w:bCs/>
              </w:rPr>
              <w:t xml:space="preserve">durata mesi </w:t>
            </w:r>
            <w:r w:rsidR="00C23A5E" w:rsidRPr="00920983">
              <w:rPr>
                <w:rFonts w:ascii="Calibri" w:eastAsia="Calibri" w:hAnsi="Calibri" w:cs="Calibri"/>
                <w:b/>
                <w:bCs/>
                <w:highlight w:val="cyan"/>
              </w:rPr>
              <w:t>[…] (lettere)</w:t>
            </w:r>
            <w:r w:rsidR="00C23A5E">
              <w:rPr>
                <w:rFonts w:ascii="Calibri" w:eastAsia="Calibri" w:hAnsi="Calibri" w:cs="Calibri"/>
                <w:b/>
                <w:bCs/>
              </w:rPr>
              <w:t xml:space="preserve"> </w:t>
            </w:r>
            <w:r w:rsidR="006B630B" w:rsidRPr="00920983">
              <w:rPr>
                <w:rFonts w:ascii="Calibri" w:eastAsia="Calibri" w:hAnsi="Calibri" w:cs="Calibri"/>
                <w:bCs/>
                <w:i/>
                <w:color w:val="365F91" w:themeColor="accent1" w:themeShade="BF"/>
                <w:highlight w:val="cyan"/>
              </w:rPr>
              <w:t>(</w:t>
            </w:r>
            <w:r w:rsidR="00482050" w:rsidRPr="00920983">
              <w:rPr>
                <w:rFonts w:ascii="Calibri" w:eastAsia="Calibri" w:hAnsi="Calibri" w:cs="Calibri"/>
                <w:i/>
                <w:color w:val="365F91" w:themeColor="accent1" w:themeShade="BF"/>
                <w:highlight w:val="cyan"/>
              </w:rPr>
              <w:t>il giorno di decorrenza deve corrispondere al giorno di scadenza)</w:t>
            </w:r>
          </w:p>
          <w:p w14:paraId="5061AAB3" w14:textId="1079CF8B" w:rsidR="004D0E57" w:rsidRPr="004D0E57" w:rsidRDefault="00EF2B5F" w:rsidP="003C7F28">
            <w:pPr>
              <w:autoSpaceDE w:val="0"/>
              <w:spacing w:before="120" w:after="120"/>
              <w:jc w:val="both"/>
              <w:rPr>
                <w:rFonts w:ascii="Calibri" w:eastAsia="Calibri" w:hAnsi="Calibri" w:cs="Calibri"/>
                <w:bCs/>
                <w:iCs/>
              </w:rPr>
            </w:pPr>
            <w:r w:rsidRPr="00EF2B5F">
              <w:rPr>
                <w:rFonts w:ascii="Calibri" w:eastAsia="Calibri" w:hAnsi="Calibri" w:cs="Calibri"/>
                <w:b/>
                <w:bCs/>
              </w:rPr>
              <w:t xml:space="preserve">CIG: </w:t>
            </w:r>
            <w:r w:rsidR="006A7C34" w:rsidRPr="00920983">
              <w:rPr>
                <w:rFonts w:ascii="Calibri" w:eastAsia="Calibri" w:hAnsi="Calibri" w:cs="Calibri"/>
                <w:b/>
                <w:bCs/>
                <w:highlight w:val="cyan"/>
              </w:rPr>
              <w:t>[…]</w:t>
            </w:r>
            <w:r w:rsidR="00D25DBF">
              <w:rPr>
                <w:rFonts w:ascii="Calibri" w:eastAsia="Calibri" w:hAnsi="Calibri" w:cs="Calibri"/>
                <w:b/>
                <w:bCs/>
              </w:rPr>
              <w:t xml:space="preserve"> </w:t>
            </w:r>
            <w:r w:rsidR="00D25DBF" w:rsidRPr="00920983">
              <w:rPr>
                <w:rFonts w:ascii="Calibri" w:eastAsia="Calibri" w:hAnsi="Calibri" w:cs="Calibri"/>
                <w:i/>
                <w:color w:val="365F91" w:themeColor="accent1" w:themeShade="BF"/>
                <w:highlight w:val="cyan"/>
              </w:rPr>
              <w:t>(</w:t>
            </w:r>
            <w:r w:rsidRPr="00920983">
              <w:rPr>
                <w:rFonts w:ascii="Calibri" w:eastAsia="Calibri" w:hAnsi="Calibri" w:cs="Calibri"/>
                <w:i/>
                <w:color w:val="365F91" w:themeColor="accent1" w:themeShade="BF"/>
                <w:highlight w:val="cyan"/>
              </w:rPr>
              <w:t>l’importo deve essere riferito al premio pro-capite x numero assicurati x numero anni + 6 mesi</w:t>
            </w:r>
            <w:r w:rsidR="00D25DBF" w:rsidRPr="00920983">
              <w:rPr>
                <w:rFonts w:ascii="Calibri" w:eastAsia="Calibri" w:hAnsi="Calibri" w:cs="Calibri"/>
                <w:i/>
                <w:color w:val="365F91" w:themeColor="accent1" w:themeShade="BF"/>
                <w:highlight w:val="cyan"/>
              </w:rPr>
              <w:t>)</w:t>
            </w:r>
          </w:p>
        </w:tc>
      </w:tr>
    </w:tbl>
    <w:p w14:paraId="3F7A4FF1" w14:textId="1317EEC3" w:rsidR="003C7F28" w:rsidRPr="00414239" w:rsidRDefault="003C7F28" w:rsidP="003C7F28">
      <w:pPr>
        <w:tabs>
          <w:tab w:val="left" w:pos="1488"/>
        </w:tabs>
        <w:autoSpaceDE w:val="0"/>
        <w:spacing w:before="120" w:after="120"/>
        <w:ind w:left="108"/>
        <w:jc w:val="center"/>
        <w:rPr>
          <w:rFonts w:ascii="Calibri" w:eastAsia="Calibri" w:hAnsi="Calibri" w:cs="Calibri"/>
          <w:b/>
          <w:bCs/>
        </w:rPr>
      </w:pPr>
      <w:r w:rsidRPr="003C7F28">
        <w:rPr>
          <w:rFonts w:ascii="Calibri" w:eastAsia="Calibri" w:hAnsi="Calibri" w:cs="Calibri"/>
          <w:b/>
        </w:rPr>
        <w:t>IL DIRIGENTE SCOLASTICO</w:t>
      </w:r>
    </w:p>
    <w:tbl>
      <w:tblPr>
        <w:tblW w:w="96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8067"/>
      </w:tblGrid>
      <w:tr w:rsidR="00C2246E" w:rsidRPr="002B4213" w14:paraId="62A1EAFA" w14:textId="77777777" w:rsidTr="003C7F28">
        <w:trPr>
          <w:trHeight w:val="1032"/>
        </w:trPr>
        <w:tc>
          <w:tcPr>
            <w:tcW w:w="1577" w:type="dxa"/>
          </w:tcPr>
          <w:p w14:paraId="04F38C6C" w14:textId="51929CB3" w:rsidR="00C2246E" w:rsidRPr="003C7F28" w:rsidRDefault="004D0E57"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POSTO</w:t>
            </w:r>
          </w:p>
        </w:tc>
        <w:tc>
          <w:tcPr>
            <w:tcW w:w="8067" w:type="dxa"/>
          </w:tcPr>
          <w:p w14:paraId="0E5EB712" w14:textId="4BD3B163" w:rsidR="00C2246E" w:rsidRPr="003C7F28" w:rsidRDefault="004D0E57" w:rsidP="003C7F28">
            <w:pPr>
              <w:spacing w:after="120"/>
              <w:jc w:val="both"/>
              <w:rPr>
                <w:rFonts w:asciiTheme="minorHAnsi" w:hAnsiTheme="minorHAnsi" w:cstheme="minorHAnsi"/>
                <w:sz w:val="20"/>
                <w:szCs w:val="20"/>
              </w:rPr>
            </w:pPr>
            <w:r w:rsidRPr="003C7F28">
              <w:rPr>
                <w:rFonts w:asciiTheme="minorHAnsi" w:hAnsiTheme="minorHAnsi" w:cstheme="minorHAnsi"/>
                <w:sz w:val="20"/>
                <w:szCs w:val="20"/>
              </w:rPr>
              <w:t xml:space="preserve">l’interesse pubblico dell’Istituto Scolastico di affidare le coperture </w:t>
            </w:r>
            <w:r w:rsidR="00D46A47" w:rsidRPr="003C7F28">
              <w:rPr>
                <w:rFonts w:asciiTheme="minorHAnsi" w:hAnsiTheme="minorHAnsi" w:cstheme="minorHAnsi"/>
                <w:sz w:val="20"/>
                <w:szCs w:val="20"/>
              </w:rPr>
              <w:t>assicurative aventi</w:t>
            </w:r>
            <w:r w:rsidRPr="003C7F28">
              <w:rPr>
                <w:rFonts w:asciiTheme="minorHAnsi" w:hAnsiTheme="minorHAnsi" w:cstheme="minorHAnsi"/>
                <w:sz w:val="20"/>
                <w:szCs w:val="20"/>
              </w:rPr>
              <w:t xml:space="preserve"> le seguenti caratteristiche: Responsabilità Civile, Infortuni, Assistenza, Tutela Legale in un unico lotto, per alunni ed operatori scolastici e che l’affidamento in oggetto è finalizzato a garantire continuità delle prestazioni già in essere;</w:t>
            </w:r>
          </w:p>
        </w:tc>
      </w:tr>
      <w:tr w:rsidR="00C2246E" w:rsidRPr="002B4213" w14:paraId="18136BCC" w14:textId="77777777" w:rsidTr="003C7F28">
        <w:trPr>
          <w:trHeight w:val="795"/>
        </w:trPr>
        <w:tc>
          <w:tcPr>
            <w:tcW w:w="1577" w:type="dxa"/>
            <w:hideMark/>
          </w:tcPr>
          <w:p w14:paraId="78C076EC" w14:textId="77777777" w:rsidR="00C2246E" w:rsidRPr="003C7F28" w:rsidRDefault="00C2246E"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 VISTA</w:t>
            </w:r>
          </w:p>
        </w:tc>
        <w:tc>
          <w:tcPr>
            <w:tcW w:w="8067" w:type="dxa"/>
            <w:hideMark/>
          </w:tcPr>
          <w:p w14:paraId="0A9F307A" w14:textId="7D171475" w:rsidR="00C2246E" w:rsidRPr="003C7F28" w:rsidRDefault="003C7F28"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la Legge 15 marzo 1997, n. 59 concernente «</w:t>
            </w:r>
            <w:r w:rsidRPr="00920983">
              <w:rPr>
                <w:rFonts w:asciiTheme="minorHAnsi" w:hAnsiTheme="minorHAnsi" w:cstheme="minorHAnsi"/>
                <w:i/>
                <w:sz w:val="20"/>
                <w:szCs w:val="20"/>
              </w:rPr>
              <w:t>Delega al Governo per il conferimento di funzioni e compiti alle regioni ed enti locali, per la riforma della Pubblica Amministrazione e per la semplificazione amministrativa</w:t>
            </w:r>
            <w:r w:rsidRPr="003B2C90">
              <w:rPr>
                <w:rFonts w:asciiTheme="minorHAnsi" w:hAnsiTheme="minorHAnsi" w:cstheme="minorHAnsi"/>
                <w:sz w:val="20"/>
                <w:szCs w:val="20"/>
              </w:rPr>
              <w:t>»;</w:t>
            </w:r>
          </w:p>
        </w:tc>
      </w:tr>
      <w:tr w:rsidR="00C2246E" w:rsidRPr="002B4213" w14:paraId="63E9B695" w14:textId="77777777" w:rsidTr="003C7F28">
        <w:trPr>
          <w:trHeight w:val="525"/>
        </w:trPr>
        <w:tc>
          <w:tcPr>
            <w:tcW w:w="1577" w:type="dxa"/>
            <w:hideMark/>
          </w:tcPr>
          <w:p w14:paraId="3C1B42C8" w14:textId="77777777" w:rsidR="00C2246E" w:rsidRPr="003C7F28" w:rsidRDefault="00C2246E"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VISTO </w:t>
            </w:r>
          </w:p>
        </w:tc>
        <w:tc>
          <w:tcPr>
            <w:tcW w:w="8067" w:type="dxa"/>
            <w:hideMark/>
          </w:tcPr>
          <w:p w14:paraId="7CDDCC0B" w14:textId="190EA1AA" w:rsidR="00C2246E" w:rsidRPr="003C7F28" w:rsidRDefault="003C7F28"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il D.P.R. 8 marzo 1999, n. 275, «</w:t>
            </w:r>
            <w:r w:rsidRPr="003B2C90">
              <w:rPr>
                <w:rFonts w:asciiTheme="minorHAnsi" w:hAnsiTheme="minorHAnsi" w:cstheme="minorHAnsi"/>
                <w:i/>
                <w:sz w:val="20"/>
                <w:szCs w:val="20"/>
              </w:rPr>
              <w:t>Regolamento recante norme in materia di autonomia delle Istituzioni Scolastiche, ai sensi dell’art. 21 della L. 15/03/1997</w:t>
            </w:r>
            <w:r w:rsidRPr="003B2C90">
              <w:rPr>
                <w:rFonts w:asciiTheme="minorHAnsi" w:hAnsiTheme="minorHAnsi" w:cstheme="minorHAnsi"/>
                <w:sz w:val="20"/>
                <w:szCs w:val="20"/>
              </w:rPr>
              <w:t>»;</w:t>
            </w:r>
          </w:p>
        </w:tc>
      </w:tr>
      <w:tr w:rsidR="003C7F28" w:rsidRPr="002B4213" w14:paraId="5E4A4F2A" w14:textId="77777777" w:rsidTr="003C7F28">
        <w:trPr>
          <w:trHeight w:val="635"/>
        </w:trPr>
        <w:tc>
          <w:tcPr>
            <w:tcW w:w="1577" w:type="dxa"/>
            <w:hideMark/>
          </w:tcPr>
          <w:p w14:paraId="180E643F"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VISTO</w:t>
            </w:r>
          </w:p>
        </w:tc>
        <w:tc>
          <w:tcPr>
            <w:tcW w:w="8067" w:type="dxa"/>
            <w:hideMark/>
          </w:tcPr>
          <w:p w14:paraId="7B2890DC" w14:textId="224E7A11" w:rsidR="003C7F28" w:rsidRPr="003C7F28" w:rsidRDefault="003C7F28"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il D. Interm. 28 settembre 2018, n. 129, recante «</w:t>
            </w:r>
            <w:r w:rsidRPr="003B2C90">
              <w:rPr>
                <w:rFonts w:asciiTheme="minorHAnsi" w:hAnsiTheme="minorHAnsi" w:cstheme="minorHAnsi"/>
                <w:i/>
                <w:sz w:val="20"/>
                <w:szCs w:val="20"/>
              </w:rPr>
              <w:t>Istruzioni generali sulla gestione amministrativo-contabile delle istituzioni scolastiche, ai sensi dell’articolo 1, comma 143, della legge 13 luglio 2015, n. 107</w:t>
            </w:r>
            <w:r w:rsidRPr="003B2C90">
              <w:rPr>
                <w:rFonts w:asciiTheme="minorHAnsi" w:hAnsiTheme="minorHAnsi" w:cstheme="minorHAnsi"/>
                <w:sz w:val="20"/>
                <w:szCs w:val="20"/>
              </w:rPr>
              <w:t>»;</w:t>
            </w:r>
          </w:p>
        </w:tc>
      </w:tr>
      <w:tr w:rsidR="003C7F28" w:rsidRPr="002B4213" w14:paraId="4CA5812D" w14:textId="77777777" w:rsidTr="003C7F28">
        <w:tc>
          <w:tcPr>
            <w:tcW w:w="1577" w:type="dxa"/>
            <w:hideMark/>
          </w:tcPr>
          <w:p w14:paraId="63CBF937"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VISTO </w:t>
            </w:r>
          </w:p>
        </w:tc>
        <w:tc>
          <w:tcPr>
            <w:tcW w:w="8067" w:type="dxa"/>
            <w:hideMark/>
          </w:tcPr>
          <w:p w14:paraId="23248F98" w14:textId="4F6BFD08" w:rsidR="003C7F28" w:rsidRPr="003C7F28" w:rsidRDefault="00C22A27"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il D.Lgs. 30 marzo 2001, n. 165 recante «</w:t>
            </w:r>
            <w:r w:rsidRPr="003B2C90">
              <w:rPr>
                <w:rFonts w:asciiTheme="minorHAnsi" w:hAnsiTheme="minorHAnsi" w:cstheme="minorHAnsi"/>
                <w:i/>
                <w:sz w:val="20"/>
                <w:szCs w:val="20"/>
              </w:rPr>
              <w:t>Norme generali sull'ordinamento del lavoro alle dipendenze delle amministrazioni pubbliche</w:t>
            </w:r>
            <w:r w:rsidRPr="003B2C90">
              <w:rPr>
                <w:rFonts w:asciiTheme="minorHAnsi" w:hAnsiTheme="minorHAnsi" w:cstheme="minorHAnsi"/>
                <w:sz w:val="20"/>
                <w:szCs w:val="20"/>
              </w:rPr>
              <w:t xml:space="preserve">» e </w:t>
            </w:r>
            <w:r w:rsidR="009E650B">
              <w:rPr>
                <w:rFonts w:asciiTheme="minorHAnsi" w:hAnsiTheme="minorHAnsi" w:cstheme="minorHAnsi"/>
                <w:sz w:val="20"/>
                <w:szCs w:val="20"/>
              </w:rPr>
              <w:t>ss.mm.ii;</w:t>
            </w:r>
          </w:p>
        </w:tc>
      </w:tr>
      <w:tr w:rsidR="003C7F28" w:rsidRPr="002B4213" w14:paraId="2E52E4CC" w14:textId="77777777" w:rsidTr="003C7F28">
        <w:tc>
          <w:tcPr>
            <w:tcW w:w="1577" w:type="dxa"/>
            <w:hideMark/>
          </w:tcPr>
          <w:p w14:paraId="045975B7"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TENUTO CONTO </w:t>
            </w:r>
          </w:p>
        </w:tc>
        <w:tc>
          <w:tcPr>
            <w:tcW w:w="8067" w:type="dxa"/>
            <w:hideMark/>
          </w:tcPr>
          <w:p w14:paraId="7705A333" w14:textId="4B766970" w:rsidR="003C7F28" w:rsidRPr="003C7F28" w:rsidRDefault="00C22A27"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delle funzioni e dei poteri del Dirigente Scolastico in materia negoziale, come definiti dall'Art. 25, comma 2, del D. Lgs. 30 marzo 2001, n. 165, dall’Art. 1, comma 78, della Legge 13 luglio 2015, n. 107 e dagli Artt. 3 e 44 del succitato D. Interm. 28.8.2018, n. 129;</w:t>
            </w:r>
          </w:p>
        </w:tc>
      </w:tr>
      <w:tr w:rsidR="003C7F28" w:rsidRPr="002B4213" w14:paraId="67A886C9" w14:textId="77777777" w:rsidTr="003C7F28">
        <w:tc>
          <w:tcPr>
            <w:tcW w:w="1577" w:type="dxa"/>
            <w:hideMark/>
          </w:tcPr>
          <w:p w14:paraId="3D2036F5"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VISTO </w:t>
            </w:r>
          </w:p>
        </w:tc>
        <w:tc>
          <w:tcPr>
            <w:tcW w:w="8067" w:type="dxa"/>
            <w:hideMark/>
          </w:tcPr>
          <w:p w14:paraId="17E92E79" w14:textId="43496896" w:rsidR="003C7F28" w:rsidRPr="003C7F28" w:rsidRDefault="00C22A27"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il Regolamento d’Istituto</w:t>
            </w:r>
            <w:r w:rsidR="00920983">
              <w:rPr>
                <w:rFonts w:asciiTheme="minorHAnsi" w:hAnsiTheme="minorHAnsi" w:cstheme="minorHAnsi"/>
                <w:sz w:val="20"/>
                <w:szCs w:val="20"/>
              </w:rPr>
              <w:t>,</w:t>
            </w:r>
            <w:r w:rsidRPr="003B2C90">
              <w:rPr>
                <w:rFonts w:asciiTheme="minorHAnsi" w:hAnsiTheme="minorHAnsi" w:cstheme="minorHAnsi"/>
                <w:sz w:val="20"/>
                <w:szCs w:val="20"/>
              </w:rPr>
              <w:t xml:space="preserve"> prot. </w:t>
            </w:r>
            <w:r w:rsidRPr="006D35A2">
              <w:rPr>
                <w:rFonts w:ascii="Calibri" w:hAnsi="Calibri" w:cs="Calibri"/>
                <w:spacing w:val="-7"/>
                <w:position w:val="1"/>
                <w:highlight w:val="cyan"/>
                <w:lang w:val="pt-BR"/>
              </w:rPr>
              <w:t>[...]</w:t>
            </w:r>
            <w:r w:rsidRPr="003B2C90">
              <w:rPr>
                <w:rFonts w:asciiTheme="minorHAnsi" w:hAnsiTheme="minorHAnsi" w:cstheme="minorHAnsi"/>
                <w:sz w:val="20"/>
                <w:szCs w:val="20"/>
              </w:rPr>
              <w:t xml:space="preserve"> del </w:t>
            </w:r>
            <w:r w:rsidRPr="00B0166A">
              <w:rPr>
                <w:rFonts w:asciiTheme="minorHAnsi" w:hAnsiTheme="minorHAnsi" w:cstheme="minorHAnsi"/>
                <w:sz w:val="20"/>
                <w:szCs w:val="20"/>
                <w:highlight w:val="cyan"/>
              </w:rPr>
              <w:t>gg/mm/aaaa</w:t>
            </w:r>
            <w:r w:rsidRPr="003B2C90">
              <w:rPr>
                <w:rFonts w:asciiTheme="minorHAnsi" w:hAnsiTheme="minorHAnsi" w:cstheme="minorHAnsi"/>
                <w:sz w:val="20"/>
                <w:szCs w:val="20"/>
              </w:rPr>
              <w:t>, che disciplina le modalità di attuazione delle procedure di acquisto di lavori, servizi e forniture;</w:t>
            </w:r>
          </w:p>
        </w:tc>
      </w:tr>
      <w:tr w:rsidR="003C7F28" w:rsidRPr="002B4213" w14:paraId="5D684032" w14:textId="77777777" w:rsidTr="003C7F28">
        <w:tc>
          <w:tcPr>
            <w:tcW w:w="1577" w:type="dxa"/>
            <w:hideMark/>
          </w:tcPr>
          <w:p w14:paraId="4747BB04"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VISTO </w:t>
            </w:r>
          </w:p>
        </w:tc>
        <w:tc>
          <w:tcPr>
            <w:tcW w:w="8067" w:type="dxa"/>
            <w:hideMark/>
          </w:tcPr>
          <w:p w14:paraId="25DE54CF" w14:textId="77777777" w:rsidR="003C7F28" w:rsidRPr="003C7F28" w:rsidRDefault="003C7F28" w:rsidP="003C7F28">
            <w:pPr>
              <w:spacing w:after="120"/>
              <w:jc w:val="both"/>
              <w:rPr>
                <w:rFonts w:asciiTheme="minorHAnsi" w:hAnsiTheme="minorHAnsi" w:cstheme="minorHAnsi"/>
                <w:sz w:val="20"/>
                <w:szCs w:val="20"/>
              </w:rPr>
            </w:pPr>
            <w:r w:rsidRPr="003C7F28">
              <w:rPr>
                <w:rFonts w:asciiTheme="minorHAnsi" w:hAnsiTheme="minorHAnsi" w:cstheme="minorHAnsi"/>
                <w:sz w:val="20"/>
                <w:szCs w:val="20"/>
              </w:rPr>
              <w:t xml:space="preserve">Il Piano Triennale dell’Offerta Formativa (PTOF); </w:t>
            </w:r>
          </w:p>
        </w:tc>
      </w:tr>
      <w:tr w:rsidR="003C7F28" w:rsidRPr="002B4213" w14:paraId="52374C82" w14:textId="77777777" w:rsidTr="003C7F28">
        <w:tc>
          <w:tcPr>
            <w:tcW w:w="1577" w:type="dxa"/>
            <w:hideMark/>
          </w:tcPr>
          <w:p w14:paraId="0373A472"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VISTO </w:t>
            </w:r>
          </w:p>
        </w:tc>
        <w:tc>
          <w:tcPr>
            <w:tcW w:w="8067" w:type="dxa"/>
            <w:hideMark/>
          </w:tcPr>
          <w:p w14:paraId="06785A92" w14:textId="48377377" w:rsidR="003C7F28" w:rsidRPr="003C7F28" w:rsidRDefault="00C22A27"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il Programma Annuale 20</w:t>
            </w:r>
            <w:r w:rsidRPr="006D35A2">
              <w:rPr>
                <w:rFonts w:ascii="Calibri" w:hAnsi="Calibri" w:cs="Calibri"/>
                <w:spacing w:val="-7"/>
                <w:position w:val="1"/>
                <w:highlight w:val="cyan"/>
                <w:lang w:val="pt-BR"/>
              </w:rPr>
              <w:t>[...]</w:t>
            </w:r>
            <w:r w:rsidRPr="003B2C90">
              <w:rPr>
                <w:rFonts w:asciiTheme="minorHAnsi" w:hAnsiTheme="minorHAnsi" w:cstheme="minorHAnsi"/>
                <w:sz w:val="20"/>
                <w:szCs w:val="20"/>
              </w:rPr>
              <w:t xml:space="preserve"> approvato con delibera n. </w:t>
            </w:r>
            <w:r w:rsidRPr="006D35A2">
              <w:rPr>
                <w:rFonts w:ascii="Calibri" w:hAnsi="Calibri" w:cs="Calibri"/>
                <w:spacing w:val="-7"/>
                <w:position w:val="1"/>
                <w:highlight w:val="cyan"/>
                <w:lang w:val="pt-BR"/>
              </w:rPr>
              <w:t>[...]</w:t>
            </w:r>
            <w:r w:rsidRPr="003B2C90">
              <w:rPr>
                <w:rFonts w:asciiTheme="minorHAnsi" w:hAnsiTheme="minorHAnsi" w:cstheme="minorHAnsi"/>
                <w:sz w:val="20"/>
                <w:szCs w:val="20"/>
              </w:rPr>
              <w:t xml:space="preserve"> del </w:t>
            </w:r>
            <w:r w:rsidRPr="00B0166A">
              <w:rPr>
                <w:rFonts w:asciiTheme="minorHAnsi" w:hAnsiTheme="minorHAnsi" w:cstheme="minorHAnsi"/>
                <w:sz w:val="20"/>
                <w:szCs w:val="20"/>
                <w:highlight w:val="cyan"/>
              </w:rPr>
              <w:t>gg/mm/aaaa</w:t>
            </w:r>
            <w:r w:rsidRPr="003B2C90">
              <w:rPr>
                <w:rFonts w:asciiTheme="minorHAnsi" w:hAnsiTheme="minorHAnsi" w:cstheme="minorHAnsi"/>
                <w:sz w:val="20"/>
                <w:szCs w:val="20"/>
              </w:rPr>
              <w:t>;</w:t>
            </w:r>
          </w:p>
        </w:tc>
      </w:tr>
      <w:tr w:rsidR="003C7F28" w:rsidRPr="002B4213" w14:paraId="76FDCC66" w14:textId="77777777" w:rsidTr="003C7F28">
        <w:tc>
          <w:tcPr>
            <w:tcW w:w="1577" w:type="dxa"/>
            <w:hideMark/>
          </w:tcPr>
          <w:p w14:paraId="2E7EFD48"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VISTA </w:t>
            </w:r>
          </w:p>
        </w:tc>
        <w:tc>
          <w:tcPr>
            <w:tcW w:w="8067" w:type="dxa"/>
            <w:hideMark/>
          </w:tcPr>
          <w:p w14:paraId="723E28D7" w14:textId="77777777" w:rsidR="003C7F28" w:rsidRDefault="00C22A27"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la Legge 7 agosto 1990 n. 241, recante «</w:t>
            </w:r>
            <w:r w:rsidRPr="003B2C90">
              <w:rPr>
                <w:rFonts w:asciiTheme="minorHAnsi" w:hAnsiTheme="minorHAnsi" w:cstheme="minorHAnsi"/>
                <w:i/>
                <w:sz w:val="20"/>
                <w:szCs w:val="20"/>
              </w:rPr>
              <w:t>Nuove norme sul procedimento amministrativo</w:t>
            </w:r>
            <w:r w:rsidRPr="003B2C90">
              <w:rPr>
                <w:rFonts w:asciiTheme="minorHAnsi" w:hAnsiTheme="minorHAnsi" w:cstheme="minorHAnsi"/>
                <w:sz w:val="20"/>
                <w:szCs w:val="20"/>
              </w:rPr>
              <w:t>»;</w:t>
            </w:r>
          </w:p>
          <w:p w14:paraId="58C775C4" w14:textId="43800662" w:rsidR="00920983" w:rsidRPr="003C7F28" w:rsidRDefault="00920983" w:rsidP="003C7F28">
            <w:pPr>
              <w:spacing w:after="120"/>
              <w:jc w:val="both"/>
              <w:rPr>
                <w:rFonts w:asciiTheme="minorHAnsi" w:hAnsiTheme="minorHAnsi" w:cstheme="minorHAnsi"/>
                <w:sz w:val="20"/>
                <w:szCs w:val="20"/>
              </w:rPr>
            </w:pPr>
          </w:p>
        </w:tc>
      </w:tr>
      <w:tr w:rsidR="003C7F28" w:rsidRPr="002B4213" w14:paraId="6597175D" w14:textId="77777777" w:rsidTr="003C7F28">
        <w:tc>
          <w:tcPr>
            <w:tcW w:w="1577" w:type="dxa"/>
            <w:hideMark/>
          </w:tcPr>
          <w:p w14:paraId="019749FD"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VISTO </w:t>
            </w:r>
          </w:p>
        </w:tc>
        <w:tc>
          <w:tcPr>
            <w:tcW w:w="8067" w:type="dxa"/>
            <w:hideMark/>
          </w:tcPr>
          <w:p w14:paraId="23FE15CD" w14:textId="72A6A1EB" w:rsidR="003C7F28" w:rsidRPr="003C7F28" w:rsidRDefault="00C22A27" w:rsidP="00C22A27">
            <w:pPr>
              <w:widowControl w:val="0"/>
              <w:tabs>
                <w:tab w:val="left" w:pos="2310"/>
              </w:tabs>
              <w:autoSpaceDE w:val="0"/>
              <w:autoSpaceDN w:val="0"/>
              <w:adjustRightInd w:val="0"/>
              <w:spacing w:after="120"/>
              <w:ind w:right="-23"/>
              <w:jc w:val="both"/>
              <w:rPr>
                <w:rFonts w:asciiTheme="minorHAnsi" w:hAnsiTheme="minorHAnsi" w:cstheme="minorHAnsi"/>
                <w:sz w:val="20"/>
                <w:szCs w:val="20"/>
              </w:rPr>
            </w:pPr>
            <w:r w:rsidRPr="003B2C90">
              <w:rPr>
                <w:rFonts w:asciiTheme="minorHAnsi" w:hAnsiTheme="minorHAnsi" w:cstheme="minorHAnsi"/>
                <w:sz w:val="20"/>
                <w:szCs w:val="20"/>
              </w:rPr>
              <w:t>il D. Lgs. 18 aprile 2016, n. 50, recante «</w:t>
            </w:r>
            <w:r w:rsidRPr="003B2C90">
              <w:rPr>
                <w:rFonts w:asciiTheme="minorHAnsi" w:hAnsiTheme="minorHAnsi" w:cstheme="minorHAnsi"/>
                <w:i/>
                <w:sz w:val="20"/>
                <w:szCs w:val="20"/>
              </w:rPr>
              <w:t>Codice dei contratti pubblici</w:t>
            </w:r>
            <w:r w:rsidRPr="003B2C90">
              <w:rPr>
                <w:rFonts w:asciiTheme="minorHAnsi" w:hAnsiTheme="minorHAnsi" w:cstheme="minorHAnsi"/>
                <w:sz w:val="20"/>
                <w:szCs w:val="20"/>
              </w:rPr>
              <w:t>», come modificato dal D. Lgs. 19 aprile 2017, n. 56 (cd. Correttivo) e dal D.L. 32 del 18 aprile 2019, convertito con modificazioni dalla Legge 14 giugno 2019, n. 55 (cd. Decreto Sblocca Cantieri);</w:t>
            </w:r>
          </w:p>
        </w:tc>
      </w:tr>
      <w:tr w:rsidR="00C22A27" w:rsidRPr="002B4213" w14:paraId="48C6CAFA" w14:textId="77777777" w:rsidTr="003C7F28">
        <w:tc>
          <w:tcPr>
            <w:tcW w:w="1577" w:type="dxa"/>
          </w:tcPr>
          <w:p w14:paraId="4B7EC7A0" w14:textId="1380982E" w:rsidR="00C22A27" w:rsidRPr="003C7F28" w:rsidRDefault="00C22A27"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lastRenderedPageBreak/>
              <w:t>VISTA</w:t>
            </w:r>
          </w:p>
        </w:tc>
        <w:tc>
          <w:tcPr>
            <w:tcW w:w="8067" w:type="dxa"/>
          </w:tcPr>
          <w:p w14:paraId="44D6EF19" w14:textId="77777777" w:rsidR="00D5054B" w:rsidRPr="009630D8" w:rsidRDefault="00D5054B" w:rsidP="00D5054B">
            <w:pPr>
              <w:widowControl w:val="0"/>
              <w:tabs>
                <w:tab w:val="left" w:pos="2310"/>
              </w:tabs>
              <w:autoSpaceDE w:val="0"/>
              <w:autoSpaceDN w:val="0"/>
              <w:adjustRightInd w:val="0"/>
              <w:ind w:right="-23"/>
              <w:jc w:val="both"/>
              <w:rPr>
                <w:rFonts w:asciiTheme="minorHAnsi" w:hAnsiTheme="minorHAnsi" w:cstheme="minorHAnsi"/>
                <w:sz w:val="20"/>
                <w:szCs w:val="20"/>
              </w:rPr>
            </w:pPr>
            <w:r w:rsidRPr="009A3C25">
              <w:rPr>
                <w:rFonts w:asciiTheme="minorHAnsi" w:hAnsiTheme="minorHAnsi" w:cstheme="minorHAnsi"/>
                <w:sz w:val="20"/>
                <w:szCs w:val="20"/>
              </w:rPr>
              <w:t>la Legge</w:t>
            </w:r>
            <w:r w:rsidRPr="003B2C90">
              <w:rPr>
                <w:rFonts w:asciiTheme="minorHAnsi" w:hAnsiTheme="minorHAnsi" w:cstheme="minorHAnsi"/>
                <w:sz w:val="20"/>
                <w:szCs w:val="20"/>
              </w:rPr>
              <w:t xml:space="preserve"> 11 settembre 2020, </w:t>
            </w:r>
            <w:bookmarkStart w:id="1" w:name="inizio"/>
            <w:r w:rsidRPr="003B2C90">
              <w:rPr>
                <w:rFonts w:asciiTheme="minorHAnsi" w:hAnsiTheme="minorHAnsi" w:cstheme="minorHAnsi"/>
                <w:sz w:val="20"/>
                <w:szCs w:val="20"/>
              </w:rPr>
              <w:t>n. 120</w:t>
            </w:r>
            <w:bookmarkEnd w:id="1"/>
            <w:r w:rsidRPr="003B2C90">
              <w:rPr>
                <w:rFonts w:asciiTheme="minorHAnsi" w:hAnsiTheme="minorHAnsi" w:cstheme="minorHAnsi"/>
                <w:sz w:val="20"/>
                <w:szCs w:val="20"/>
              </w:rPr>
              <w:t>, conversione in legge, con modificazioni, del D.L. 16 luglio 2020, n. 76, recante «</w:t>
            </w:r>
            <w:r w:rsidRPr="003B2C90">
              <w:rPr>
                <w:rFonts w:asciiTheme="minorHAnsi" w:hAnsiTheme="minorHAnsi" w:cstheme="minorHAnsi"/>
                <w:i/>
                <w:sz w:val="20"/>
                <w:szCs w:val="20"/>
              </w:rPr>
              <w:t>Misure urgenti per la semplificazione e l’innovazione digitali</w:t>
            </w:r>
            <w:r w:rsidRPr="003B2C90">
              <w:rPr>
                <w:rFonts w:asciiTheme="minorHAnsi" w:hAnsiTheme="minorHAnsi" w:cstheme="minorHAnsi"/>
                <w:sz w:val="20"/>
                <w:szCs w:val="20"/>
              </w:rPr>
              <w:t>» (c.d. Decreto Semplificazioni)</w:t>
            </w:r>
            <w:r>
              <w:rPr>
                <w:rFonts w:asciiTheme="minorHAnsi" w:hAnsiTheme="minorHAnsi" w:cstheme="minorHAnsi"/>
                <w:sz w:val="20"/>
                <w:szCs w:val="20"/>
              </w:rPr>
              <w:t xml:space="preserve"> e l’Art. 51 del D.L. 77/2021 (decreto semplificazioni-bis),</w:t>
            </w:r>
            <w:r w:rsidRPr="003B2C90">
              <w:rPr>
                <w:rFonts w:asciiTheme="minorHAnsi" w:hAnsiTheme="minorHAnsi" w:cstheme="minorHAnsi"/>
                <w:sz w:val="20"/>
                <w:szCs w:val="20"/>
              </w:rPr>
              <w:t xml:space="preserve"> </w:t>
            </w:r>
            <w:r w:rsidRPr="009630D8">
              <w:rPr>
                <w:rFonts w:asciiTheme="minorHAnsi" w:hAnsiTheme="minorHAnsi" w:cstheme="minorHAnsi"/>
                <w:sz w:val="20"/>
                <w:szCs w:val="20"/>
              </w:rPr>
              <w:t>ed in particolare:</w:t>
            </w:r>
          </w:p>
          <w:p w14:paraId="049F6D59" w14:textId="77777777" w:rsidR="00D5054B" w:rsidRPr="00365E6B" w:rsidRDefault="00D5054B" w:rsidP="00D5054B">
            <w:pPr>
              <w:widowControl w:val="0"/>
              <w:autoSpaceDE w:val="0"/>
              <w:autoSpaceDN w:val="0"/>
              <w:adjustRightInd w:val="0"/>
              <w:spacing w:after="120"/>
              <w:ind w:right="-23"/>
              <w:jc w:val="both"/>
              <w:rPr>
                <w:rFonts w:asciiTheme="minorHAnsi" w:hAnsiTheme="minorHAnsi" w:cstheme="minorHAnsi"/>
                <w:i/>
                <w:sz w:val="20"/>
                <w:szCs w:val="20"/>
              </w:rPr>
            </w:pPr>
            <w:r w:rsidRPr="00365E6B">
              <w:rPr>
                <w:rFonts w:asciiTheme="minorHAnsi" w:hAnsiTheme="minorHAnsi" w:cstheme="minorHAnsi"/>
                <w:sz w:val="20"/>
                <w:szCs w:val="20"/>
              </w:rPr>
              <w:t xml:space="preserve">L’Art. 1: </w:t>
            </w:r>
            <w:r w:rsidRPr="00365E6B">
              <w:rPr>
                <w:rFonts w:asciiTheme="minorHAnsi" w:hAnsiTheme="minorHAnsi" w:cstheme="minorHAnsi"/>
                <w:i/>
                <w:sz w:val="20"/>
                <w:szCs w:val="20"/>
              </w:rPr>
              <w:t>«[…] Al fine di incentivare gli investimenti pubblici nel settore delle infrastrutture e dei servizi pubblici, nonché al fine di far fronte alle ricadute economiche negative a seguito delle misure di contenimento e dell’emergenza sanitaria globale del COVID-19, in deroga agli </w:t>
            </w:r>
            <w:hyperlink r:id="rId8" w:anchor="036" w:history="1">
              <w:r w:rsidRPr="00365E6B">
                <w:rPr>
                  <w:rFonts w:asciiTheme="minorHAnsi" w:hAnsiTheme="minorHAnsi" w:cstheme="minorHAnsi"/>
                  <w:i/>
                  <w:sz w:val="20"/>
                  <w:szCs w:val="20"/>
                </w:rPr>
                <w:t>articoli 36, comma 2</w:t>
              </w:r>
            </w:hyperlink>
            <w:r w:rsidRPr="00365E6B">
              <w:rPr>
                <w:rFonts w:asciiTheme="minorHAnsi" w:hAnsiTheme="minorHAnsi" w:cstheme="minorHAnsi"/>
                <w:i/>
                <w:sz w:val="20"/>
                <w:szCs w:val="20"/>
              </w:rPr>
              <w:t>, e </w:t>
            </w:r>
            <w:hyperlink r:id="rId9" w:anchor="157" w:history="1">
              <w:r w:rsidRPr="00365E6B">
                <w:rPr>
                  <w:rFonts w:asciiTheme="minorHAnsi" w:hAnsiTheme="minorHAnsi" w:cstheme="minorHAnsi"/>
                  <w:i/>
                  <w:sz w:val="20"/>
                  <w:szCs w:val="20"/>
                </w:rPr>
                <w:t>157, comma 2, del decreto legislativo 18 aprile 2016, n. 50</w:t>
              </w:r>
            </w:hyperlink>
            <w:r w:rsidRPr="00365E6B">
              <w:rPr>
                <w:rFonts w:asciiTheme="minorHAnsi" w:hAnsiTheme="minorHAnsi" w:cstheme="minorHAnsi"/>
                <w:i/>
                <w:sz w:val="20"/>
                <w:szCs w:val="20"/>
              </w:rPr>
              <w:t>, recante Codice dei contratti pubblici, si applicano le procedure di affidamento di cui ai commi 2, 3 e 4, qualora la determina a contrarre o altro atto di avvio del procedimento equivalente sia adottato entro il 30 giugno 2023</w:t>
            </w:r>
            <w:r w:rsidRPr="00365E6B">
              <w:rPr>
                <w:rFonts w:asciiTheme="minorHAnsi" w:hAnsiTheme="minorHAnsi" w:cstheme="minorHAnsi"/>
                <w:sz w:val="20"/>
                <w:szCs w:val="20"/>
              </w:rPr>
              <w:t>»;</w:t>
            </w:r>
          </w:p>
          <w:p w14:paraId="59BD287B" w14:textId="7332ABF2" w:rsidR="00C22A27" w:rsidRPr="003B2C90" w:rsidRDefault="00D5054B" w:rsidP="00D5054B">
            <w:pPr>
              <w:pStyle w:val="Paragrafoelenco"/>
              <w:widowControl w:val="0"/>
              <w:numPr>
                <w:ilvl w:val="0"/>
                <w:numId w:val="15"/>
              </w:numPr>
              <w:autoSpaceDE w:val="0"/>
              <w:autoSpaceDN w:val="0"/>
              <w:adjustRightInd w:val="0"/>
              <w:spacing w:after="120"/>
              <w:ind w:left="175" w:right="-23" w:hanging="141"/>
              <w:jc w:val="both"/>
              <w:rPr>
                <w:rFonts w:asciiTheme="minorHAnsi" w:hAnsiTheme="minorHAnsi" w:cstheme="minorHAnsi"/>
                <w:sz w:val="20"/>
                <w:szCs w:val="20"/>
              </w:rPr>
            </w:pPr>
            <w:r w:rsidRPr="00365E6B">
              <w:rPr>
                <w:rFonts w:asciiTheme="minorHAnsi" w:hAnsiTheme="minorHAnsi" w:cstheme="minorHAnsi"/>
                <w:sz w:val="20"/>
                <w:szCs w:val="20"/>
              </w:rPr>
              <w:t>L’Art. 2: «</w:t>
            </w:r>
            <w:r w:rsidRPr="00365E6B">
              <w:rPr>
                <w:rFonts w:asciiTheme="minorHAnsi" w:hAnsiTheme="minorHAnsi" w:cstheme="minorHAnsi"/>
                <w:i/>
                <w:sz w:val="20"/>
                <w:szCs w:val="20"/>
              </w:rPr>
              <w:t>Fermo quanto previsto dagli articoli 37 e 38 del decreto legislativo n. 50 del 2016, le stazioni appaltanti procedono all’affidamento delle attività di esecuzione di lavori, servizi e forniture,</w:t>
            </w:r>
            <w:r w:rsidRPr="00365E6B">
              <w:rPr>
                <w:rFonts w:asciiTheme="minorHAnsi" w:hAnsiTheme="minorHAnsi" w:cstheme="minorHAnsi"/>
                <w:sz w:val="20"/>
                <w:szCs w:val="20"/>
              </w:rPr>
              <w:t xml:space="preserve"> […] </w:t>
            </w:r>
            <w:r w:rsidRPr="00365E6B">
              <w:rPr>
                <w:rFonts w:asciiTheme="minorHAnsi" w:hAnsiTheme="minorHAnsi" w:cstheme="minorHAnsi"/>
                <w:i/>
                <w:sz w:val="20"/>
                <w:szCs w:val="20"/>
              </w:rPr>
              <w:t>di importo inferiore alle soglie di cui all’articolo 35 del decreto legislativo n. 50 del 2016 secondo le seguenti modalità: a) affidamento diretto</w:t>
            </w:r>
            <w:r w:rsidRPr="00365E6B">
              <w:rPr>
                <w:rFonts w:asciiTheme="minorHAnsi" w:hAnsiTheme="minorHAnsi" w:cstheme="minorHAnsi"/>
                <w:sz w:val="20"/>
                <w:szCs w:val="20"/>
              </w:rPr>
              <w:t xml:space="preserve"> […] </w:t>
            </w:r>
            <w:r w:rsidRPr="00365E6B">
              <w:rPr>
                <w:rFonts w:asciiTheme="minorHAnsi" w:hAnsiTheme="minorHAnsi" w:cstheme="minorHAnsi"/>
                <w:i/>
                <w:sz w:val="20"/>
                <w:szCs w:val="20"/>
              </w:rPr>
              <w:t>per servizi e forniture</w:t>
            </w:r>
            <w:r w:rsidRPr="00365E6B">
              <w:rPr>
                <w:rFonts w:asciiTheme="minorHAnsi" w:hAnsiTheme="minorHAnsi" w:cstheme="minorHAnsi"/>
                <w:sz w:val="20"/>
                <w:szCs w:val="20"/>
              </w:rPr>
              <w:t xml:space="preserve"> […] </w:t>
            </w:r>
            <w:r w:rsidRPr="00365E6B">
              <w:rPr>
                <w:rFonts w:asciiTheme="minorHAnsi" w:hAnsiTheme="minorHAnsi" w:cstheme="minorHAnsi"/>
                <w:i/>
                <w:sz w:val="20"/>
                <w:szCs w:val="20"/>
              </w:rPr>
              <w:t>di importo inferiore a 139.000 euro</w:t>
            </w:r>
            <w:r w:rsidRPr="00365E6B">
              <w:rPr>
                <w:rFonts w:asciiTheme="minorHAnsi" w:hAnsiTheme="minorHAnsi" w:cstheme="minorHAnsi"/>
                <w:sz w:val="20"/>
                <w:szCs w:val="20"/>
              </w:rPr>
              <w:t>»;</w:t>
            </w:r>
          </w:p>
        </w:tc>
      </w:tr>
      <w:tr w:rsidR="00C22A27" w:rsidRPr="002B4213" w14:paraId="7A2336B6" w14:textId="77777777" w:rsidTr="003C7F28">
        <w:tc>
          <w:tcPr>
            <w:tcW w:w="1577" w:type="dxa"/>
          </w:tcPr>
          <w:p w14:paraId="07B33870" w14:textId="06038D3A" w:rsidR="00C22A27" w:rsidRPr="003C7F28" w:rsidRDefault="00C22A27"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9A3C25">
              <w:rPr>
                <w:rFonts w:asciiTheme="minorHAnsi" w:hAnsiTheme="minorHAnsi" w:cstheme="minorHAnsi"/>
                <w:b/>
                <w:sz w:val="20"/>
                <w:szCs w:val="20"/>
              </w:rPr>
              <w:t>TENUTO CONTO</w:t>
            </w:r>
          </w:p>
        </w:tc>
        <w:tc>
          <w:tcPr>
            <w:tcW w:w="8067" w:type="dxa"/>
          </w:tcPr>
          <w:p w14:paraId="0188DA16" w14:textId="293A769A" w:rsidR="00C22A27" w:rsidRPr="009A3C25" w:rsidRDefault="00C22A27" w:rsidP="00C22A27">
            <w:pPr>
              <w:widowControl w:val="0"/>
              <w:tabs>
                <w:tab w:val="left" w:pos="2310"/>
              </w:tabs>
              <w:autoSpaceDE w:val="0"/>
              <w:autoSpaceDN w:val="0"/>
              <w:adjustRightInd w:val="0"/>
              <w:spacing w:after="120"/>
              <w:ind w:right="-23"/>
              <w:jc w:val="both"/>
              <w:rPr>
                <w:rFonts w:asciiTheme="minorHAnsi" w:hAnsiTheme="minorHAnsi" w:cstheme="minorHAnsi"/>
                <w:sz w:val="20"/>
                <w:szCs w:val="20"/>
              </w:rPr>
            </w:pPr>
            <w:r>
              <w:rPr>
                <w:rFonts w:asciiTheme="minorHAnsi" w:hAnsiTheme="minorHAnsi" w:cstheme="minorHAnsi"/>
                <w:sz w:val="20"/>
                <w:szCs w:val="20"/>
              </w:rPr>
              <w:t>de</w:t>
            </w:r>
            <w:r w:rsidRPr="009630D8">
              <w:rPr>
                <w:rFonts w:asciiTheme="minorHAnsi" w:hAnsiTheme="minorHAnsi" w:cstheme="minorHAnsi"/>
                <w:sz w:val="20"/>
                <w:szCs w:val="20"/>
              </w:rPr>
              <w:t>l parere del Ministero delle infrastrutture e dei trasporti (MIT) n. 752 del 10.12.2020, che stabilisce, tra l’altro, espressamente che:</w:t>
            </w:r>
            <w:r w:rsidRPr="009A3C25">
              <w:rPr>
                <w:rFonts w:asciiTheme="minorHAnsi" w:hAnsiTheme="minorHAnsi" w:cstheme="minorHAnsi"/>
                <w:sz w:val="20"/>
                <w:szCs w:val="20"/>
              </w:rPr>
              <w:t xml:space="preserve"> </w:t>
            </w:r>
            <w:r w:rsidRPr="009630D8">
              <w:rPr>
                <w:rFonts w:asciiTheme="minorHAnsi" w:hAnsiTheme="minorHAnsi" w:cstheme="minorHAnsi"/>
                <w:sz w:val="20"/>
                <w:szCs w:val="20"/>
              </w:rPr>
              <w:t>“</w:t>
            </w:r>
            <w:r w:rsidRPr="00C22A27">
              <w:rPr>
                <w:rFonts w:asciiTheme="minorHAnsi" w:hAnsiTheme="minorHAnsi" w:cstheme="minorHAnsi"/>
                <w:i/>
                <w:sz w:val="20"/>
                <w:szCs w:val="20"/>
              </w:rPr>
              <w:t>Con riferimento a quanto richiesto si rappresenta che il decreto semplificazioni, convertito con Legge 11 settembre 2020, n. 120 prescrive l’applicazione delle procedure enucleate all’art. 1 comma 2 del richiamato decreto. Non si tratta di una disciplina facoltativa; le nuove procedure sostituiscono infatti, fino al 31.12.2021, quelle contenute all’art. 36 del D. Lgs. 18 aprile 2016, n. 50. Si tratta di procedure di affidamento più snelle e “semplificate”, introdotte nell’ottica di rilanciare gli investimenti ed accelerare gli affidamenti pubblici</w:t>
            </w:r>
            <w:r w:rsidRPr="009630D8">
              <w:rPr>
                <w:rFonts w:asciiTheme="minorHAnsi" w:hAnsiTheme="minorHAnsi" w:cstheme="minorHAnsi"/>
                <w:sz w:val="20"/>
                <w:szCs w:val="20"/>
              </w:rPr>
              <w:t>”;</w:t>
            </w:r>
          </w:p>
        </w:tc>
      </w:tr>
      <w:tr w:rsidR="003C7F28" w:rsidRPr="002B4213" w14:paraId="1B6C300B" w14:textId="77777777" w:rsidTr="003C7F28">
        <w:tc>
          <w:tcPr>
            <w:tcW w:w="1577" w:type="dxa"/>
            <w:hideMark/>
          </w:tcPr>
          <w:p w14:paraId="51CB8F46"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VISTE </w:t>
            </w:r>
          </w:p>
        </w:tc>
        <w:tc>
          <w:tcPr>
            <w:tcW w:w="8067" w:type="dxa"/>
            <w:hideMark/>
          </w:tcPr>
          <w:p w14:paraId="09444733" w14:textId="35E41D29" w:rsidR="003C7F28" w:rsidRPr="003C7F28" w:rsidRDefault="00C22A27"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le Linee Guida n. 4, aggiornate al Decreto Legislativo 19 aprile 2017, n. 56 con delibera del Consiglio n. 206 del 1 marzo 2018, recanti «</w:t>
            </w:r>
            <w:r w:rsidRPr="003B2C90">
              <w:rPr>
                <w:rFonts w:asciiTheme="minorHAnsi" w:hAnsiTheme="minorHAnsi" w:cstheme="minorHAnsi"/>
                <w:i/>
                <w:sz w:val="20"/>
                <w:szCs w:val="20"/>
              </w:rPr>
              <w:t>Procedure per l’affidamento dei contratti pubblici di importo inferiore alle soglie di rilevanza comunitaria, indagini di mercato e formazione e gestione degli elenchi di operatori economici</w:t>
            </w:r>
            <w:r w:rsidRPr="003B2C90">
              <w:rPr>
                <w:rFonts w:asciiTheme="minorHAnsi" w:hAnsiTheme="minorHAnsi" w:cstheme="minorHAnsi"/>
                <w:sz w:val="20"/>
                <w:szCs w:val="20"/>
              </w:rPr>
              <w:t>», le quali hanno</w:t>
            </w:r>
            <w:r w:rsidR="00D46A47">
              <w:rPr>
                <w:rFonts w:asciiTheme="minorHAnsi" w:hAnsiTheme="minorHAnsi" w:cstheme="minorHAnsi"/>
                <w:sz w:val="20"/>
                <w:szCs w:val="20"/>
              </w:rPr>
              <w:t>,</w:t>
            </w:r>
            <w:r w:rsidRPr="003B2C90">
              <w:rPr>
                <w:rFonts w:asciiTheme="minorHAnsi" w:hAnsiTheme="minorHAnsi" w:cstheme="minorHAnsi"/>
                <w:sz w:val="20"/>
                <w:szCs w:val="20"/>
              </w:rPr>
              <w:t xml:space="preserve"> inter alia</w:t>
            </w:r>
            <w:r w:rsidR="00D46A47">
              <w:rPr>
                <w:rFonts w:asciiTheme="minorHAnsi" w:hAnsiTheme="minorHAnsi" w:cstheme="minorHAnsi"/>
                <w:sz w:val="20"/>
                <w:szCs w:val="20"/>
              </w:rPr>
              <w:t>,</w:t>
            </w:r>
            <w:r w:rsidRPr="003B2C90">
              <w:rPr>
                <w:rFonts w:asciiTheme="minorHAnsi" w:hAnsiTheme="minorHAnsi" w:cstheme="minorHAnsi"/>
                <w:sz w:val="20"/>
                <w:szCs w:val="20"/>
              </w:rPr>
              <w:t xml:space="preserve"> previsto che, ai fini della scelta dell’affidatario in via diretta, «[…] </w:t>
            </w:r>
            <w:r w:rsidRPr="003B2C90">
              <w:rPr>
                <w:rFonts w:asciiTheme="minorHAnsi" w:hAnsiTheme="minorHAnsi" w:cstheme="minorHAnsi"/>
                <w:i/>
                <w:sz w:val="20"/>
                <w:szCs w:val="20"/>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3B2C90">
              <w:rPr>
                <w:rFonts w:asciiTheme="minorHAnsi" w:hAnsiTheme="minorHAnsi" w:cstheme="minorHAnsi"/>
                <w:sz w:val="20"/>
                <w:szCs w:val="20"/>
              </w:rPr>
              <w:t>»;</w:t>
            </w:r>
          </w:p>
        </w:tc>
      </w:tr>
      <w:tr w:rsidR="003C7F28" w:rsidRPr="002B4213" w14:paraId="7DC86671" w14:textId="77777777" w:rsidTr="003C7F28">
        <w:tc>
          <w:tcPr>
            <w:tcW w:w="1577" w:type="dxa"/>
          </w:tcPr>
          <w:p w14:paraId="10A7BC16" w14:textId="001D12FE"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VISTO</w:t>
            </w:r>
          </w:p>
        </w:tc>
        <w:tc>
          <w:tcPr>
            <w:tcW w:w="8067" w:type="dxa"/>
          </w:tcPr>
          <w:p w14:paraId="0DE74ED8" w14:textId="4D3C410E" w:rsidR="003C7F28" w:rsidRPr="003C7F28" w:rsidRDefault="00C22A27"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l’art. 45, comma 2, lett. a) del D. Interm. 28.8.2018, n. 129, il quale prevede che «</w:t>
            </w:r>
            <w:r w:rsidRPr="003B2C90">
              <w:rPr>
                <w:rFonts w:asciiTheme="minorHAnsi" w:hAnsiTheme="minorHAnsi" w:cstheme="minorHAnsi"/>
                <w:i/>
                <w:sz w:val="20"/>
                <w:szCs w:val="20"/>
              </w:rPr>
              <w:t>Al Consiglio d’Istituto spettano le deliberazioni relative alla determinazione, nei limiti stabiliti dalla normativa vigente in materia, dei criteri e dei limiti per lo svolgimento, da parte del dirigente scolastico, delle seguenti attività negoziali: a) affidamenti di lavori, servizi e forniture, secondo quanto disposto dal Decreto Legislativo 18 aprile 2016, n. 50 e dalle relative previsioni di attuazione, di importo superiore a 10.000,00 euro</w:t>
            </w:r>
            <w:r w:rsidRPr="003B2C90">
              <w:rPr>
                <w:rFonts w:asciiTheme="minorHAnsi" w:hAnsiTheme="minorHAnsi" w:cstheme="minorHAnsi"/>
                <w:sz w:val="20"/>
                <w:szCs w:val="20"/>
              </w:rPr>
              <w:t>»;</w:t>
            </w:r>
          </w:p>
        </w:tc>
      </w:tr>
      <w:tr w:rsidR="003C7F28" w:rsidRPr="002B4213" w14:paraId="695F2597" w14:textId="77777777" w:rsidTr="003C7F28">
        <w:tc>
          <w:tcPr>
            <w:tcW w:w="1577" w:type="dxa"/>
            <w:shd w:val="clear" w:color="auto" w:fill="auto"/>
            <w:hideMark/>
          </w:tcPr>
          <w:p w14:paraId="380982CB"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 xml:space="preserve">VISTO </w:t>
            </w:r>
          </w:p>
        </w:tc>
        <w:tc>
          <w:tcPr>
            <w:tcW w:w="8067" w:type="dxa"/>
            <w:shd w:val="clear" w:color="auto" w:fill="auto"/>
          </w:tcPr>
          <w:p w14:paraId="5FEB8521" w14:textId="42E05BBB" w:rsidR="003C7F28" w:rsidRPr="003C7F28" w:rsidRDefault="00C22A27" w:rsidP="003C7F28">
            <w:pPr>
              <w:spacing w:after="120"/>
              <w:jc w:val="both"/>
              <w:rPr>
                <w:rFonts w:asciiTheme="minorHAnsi" w:hAnsiTheme="minorHAnsi" w:cstheme="minorHAnsi"/>
                <w:sz w:val="20"/>
                <w:szCs w:val="20"/>
              </w:rPr>
            </w:pPr>
            <w:r>
              <w:rPr>
                <w:rFonts w:asciiTheme="minorHAnsi" w:hAnsiTheme="minorHAnsi" w:cstheme="minorHAnsi"/>
                <w:sz w:val="20"/>
                <w:szCs w:val="20"/>
              </w:rPr>
              <w:t>l’A</w:t>
            </w:r>
            <w:r w:rsidRPr="00AA48F3">
              <w:rPr>
                <w:rFonts w:asciiTheme="minorHAnsi" w:hAnsiTheme="minorHAnsi" w:cstheme="minorHAnsi"/>
                <w:sz w:val="20"/>
                <w:szCs w:val="20"/>
              </w:rPr>
              <w:t>rt. 1, comma 449</w:t>
            </w:r>
            <w:r>
              <w:rPr>
                <w:rFonts w:asciiTheme="minorHAnsi" w:hAnsiTheme="minorHAnsi" w:cstheme="minorHAnsi"/>
                <w:sz w:val="20"/>
                <w:szCs w:val="20"/>
              </w:rPr>
              <w:t>, della Legge</w:t>
            </w:r>
            <w:r w:rsidRPr="00AA48F3">
              <w:rPr>
                <w:rFonts w:asciiTheme="minorHAnsi" w:hAnsiTheme="minorHAnsi" w:cstheme="minorHAnsi"/>
                <w:sz w:val="20"/>
                <w:szCs w:val="20"/>
              </w:rPr>
              <w:t xml:space="preserve"> </w:t>
            </w:r>
            <w:r w:rsidRPr="009A3C25">
              <w:rPr>
                <w:rFonts w:asciiTheme="minorHAnsi" w:hAnsiTheme="minorHAnsi" w:cstheme="minorHAnsi"/>
                <w:sz w:val="20"/>
                <w:szCs w:val="20"/>
              </w:rPr>
              <w:t>27 dicembre 2006, n. 296</w:t>
            </w:r>
            <w:r w:rsidRPr="00AA48F3">
              <w:rPr>
                <w:rFonts w:asciiTheme="minorHAnsi" w:hAnsiTheme="minorHAnsi" w:cstheme="minorHAnsi"/>
                <w:sz w:val="20"/>
                <w:szCs w:val="20"/>
              </w:rPr>
              <w:t xml:space="preserve">, come </w:t>
            </w:r>
            <w:r>
              <w:rPr>
                <w:rFonts w:asciiTheme="minorHAnsi" w:hAnsiTheme="minorHAnsi" w:cstheme="minorHAnsi"/>
                <w:sz w:val="20"/>
                <w:szCs w:val="20"/>
              </w:rPr>
              <w:t>modificato dall’Art. 1, comma 495, della Legge</w:t>
            </w:r>
            <w:r w:rsidRPr="00AA48F3">
              <w:rPr>
                <w:rFonts w:asciiTheme="minorHAnsi" w:hAnsiTheme="minorHAnsi" w:cstheme="minorHAnsi"/>
                <w:sz w:val="20"/>
                <w:szCs w:val="20"/>
              </w:rPr>
              <w:t xml:space="preserve"> </w:t>
            </w:r>
            <w:r w:rsidRPr="009A3C25">
              <w:rPr>
                <w:rFonts w:asciiTheme="minorHAnsi" w:hAnsiTheme="minorHAnsi" w:cstheme="minorHAnsi"/>
                <w:sz w:val="20"/>
                <w:szCs w:val="20"/>
              </w:rPr>
              <w:t>28 dicembre 2015, n. 208</w:t>
            </w:r>
            <w:r w:rsidRPr="00AA48F3">
              <w:rPr>
                <w:rFonts w:asciiTheme="minorHAnsi" w:hAnsiTheme="minorHAnsi" w:cstheme="minorHAnsi"/>
                <w:sz w:val="20"/>
                <w:szCs w:val="20"/>
              </w:rPr>
              <w:t>, che prevede che tutte le amministrazioni statali centrali e periferiche, ivi comprese le scuole di ogni ordine e grado, sono tenute ad approvvigionarsi utilizzando le convenzioni stipulate da CONSIP S.p.A.;</w:t>
            </w:r>
          </w:p>
        </w:tc>
      </w:tr>
      <w:tr w:rsidR="003C7F28" w:rsidRPr="002B4213" w14:paraId="2699E775" w14:textId="77777777" w:rsidTr="003C7F28">
        <w:tc>
          <w:tcPr>
            <w:tcW w:w="1577" w:type="dxa"/>
            <w:shd w:val="clear" w:color="auto" w:fill="auto"/>
          </w:tcPr>
          <w:p w14:paraId="5796A8F3" w14:textId="1098A973"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bookmarkStart w:id="2" w:name="_Hlk8921836"/>
            <w:r w:rsidRPr="003C7F28">
              <w:rPr>
                <w:rFonts w:asciiTheme="minorHAnsi" w:hAnsiTheme="minorHAnsi" w:cstheme="minorHAnsi"/>
                <w:b/>
                <w:sz w:val="20"/>
                <w:szCs w:val="20"/>
              </w:rPr>
              <w:t>CONSIDERATO</w:t>
            </w:r>
          </w:p>
        </w:tc>
        <w:tc>
          <w:tcPr>
            <w:tcW w:w="8067" w:type="dxa"/>
            <w:shd w:val="clear" w:color="auto" w:fill="auto"/>
          </w:tcPr>
          <w:p w14:paraId="49DC619F" w14:textId="4754DFAD" w:rsidR="00C22A27" w:rsidRPr="003C7F28" w:rsidRDefault="00C22A27" w:rsidP="00920983">
            <w:pPr>
              <w:spacing w:after="120"/>
              <w:jc w:val="both"/>
              <w:rPr>
                <w:rFonts w:asciiTheme="minorHAnsi" w:hAnsiTheme="minorHAnsi" w:cstheme="minorHAnsi"/>
                <w:sz w:val="20"/>
                <w:szCs w:val="20"/>
              </w:rPr>
            </w:pPr>
            <w:r w:rsidRPr="00AA48F3">
              <w:rPr>
                <w:rFonts w:asciiTheme="minorHAnsi" w:hAnsiTheme="minorHAnsi" w:cstheme="minorHAnsi"/>
                <w:sz w:val="20"/>
                <w:szCs w:val="20"/>
              </w:rPr>
              <w:t>che questa Amministrazione non ha rinvenuto il servizio oggetto dell’affidamento tra le categorie merceologiche inserite nelle convenzioni o sul Mercato elettronico della Pubblica Amministrazione (MePA) di CONSIP S.p.A.;</w:t>
            </w:r>
          </w:p>
        </w:tc>
      </w:tr>
      <w:tr w:rsidR="003C7F28" w:rsidRPr="002B4213" w14:paraId="60DFF82A" w14:textId="77777777" w:rsidTr="003C7F28">
        <w:tc>
          <w:tcPr>
            <w:tcW w:w="1577" w:type="dxa"/>
            <w:shd w:val="clear" w:color="auto" w:fill="auto"/>
            <w:hideMark/>
          </w:tcPr>
          <w:p w14:paraId="79512D0C"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tc>
        <w:tc>
          <w:tcPr>
            <w:tcW w:w="8067" w:type="dxa"/>
            <w:shd w:val="clear" w:color="auto" w:fill="auto"/>
            <w:hideMark/>
          </w:tcPr>
          <w:p w14:paraId="3A3A1261" w14:textId="0B2416B1" w:rsidR="003C7F28" w:rsidRPr="003C7F28" w:rsidRDefault="00C22A27" w:rsidP="00C22A27">
            <w:pPr>
              <w:widowControl w:val="0"/>
              <w:tabs>
                <w:tab w:val="left" w:pos="2310"/>
              </w:tabs>
              <w:autoSpaceDE w:val="0"/>
              <w:autoSpaceDN w:val="0"/>
              <w:adjustRightInd w:val="0"/>
              <w:spacing w:after="120"/>
              <w:ind w:right="-23"/>
              <w:jc w:val="both"/>
              <w:rPr>
                <w:rFonts w:asciiTheme="minorHAnsi" w:hAnsiTheme="minorHAnsi" w:cstheme="minorHAnsi"/>
                <w:sz w:val="20"/>
                <w:szCs w:val="20"/>
              </w:rPr>
            </w:pPr>
            <w:r w:rsidRPr="00C22A27">
              <w:rPr>
                <w:rFonts w:asciiTheme="minorHAnsi" w:hAnsiTheme="minorHAnsi" w:cstheme="minorHAnsi"/>
                <w:sz w:val="20"/>
                <w:szCs w:val="20"/>
              </w:rPr>
              <w:t>che il contratto potrà essere sottoposto a condizione risolutiva nel caso di sopravvenuta disponibilità di una convenzione CONSIP S.p.A. avente ad oggetto servizi comparabili con quelli oggetto di affidamento, ai sensi della norma sopra citata;</w:t>
            </w:r>
          </w:p>
        </w:tc>
      </w:tr>
      <w:bookmarkEnd w:id="2"/>
      <w:tr w:rsidR="003C7F28" w:rsidRPr="002B4213" w14:paraId="6B5EDAFF" w14:textId="77777777" w:rsidTr="003C7F28">
        <w:tc>
          <w:tcPr>
            <w:tcW w:w="1577" w:type="dxa"/>
            <w:hideMark/>
          </w:tcPr>
          <w:p w14:paraId="0B4056CD" w14:textId="69CD15F9"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PRESO ATTO</w:t>
            </w:r>
          </w:p>
        </w:tc>
        <w:tc>
          <w:tcPr>
            <w:tcW w:w="8067" w:type="dxa"/>
            <w:hideMark/>
          </w:tcPr>
          <w:p w14:paraId="3E4EAD65" w14:textId="3E38CEFC" w:rsidR="003C7F28" w:rsidRPr="003C7F28" w:rsidRDefault="00C22A27" w:rsidP="009E650B">
            <w:pPr>
              <w:spacing w:after="120"/>
              <w:jc w:val="both"/>
              <w:rPr>
                <w:rFonts w:asciiTheme="minorHAnsi" w:hAnsiTheme="minorHAnsi" w:cstheme="minorHAnsi"/>
                <w:sz w:val="20"/>
                <w:szCs w:val="20"/>
              </w:rPr>
            </w:pPr>
            <w:r w:rsidRPr="003B2C90">
              <w:rPr>
                <w:rFonts w:asciiTheme="minorHAnsi" w:hAnsiTheme="minorHAnsi" w:cstheme="minorHAnsi"/>
                <w:sz w:val="20"/>
                <w:szCs w:val="20"/>
              </w:rPr>
              <w:t xml:space="preserve">che, in osservanza dell’art. 31, comma 1 del D. Lgs. </w:t>
            </w:r>
            <w:r w:rsidR="009E650B" w:rsidRPr="003B2C90">
              <w:rPr>
                <w:rFonts w:asciiTheme="minorHAnsi" w:hAnsiTheme="minorHAnsi" w:cstheme="minorHAnsi"/>
                <w:sz w:val="20"/>
                <w:szCs w:val="20"/>
              </w:rPr>
              <w:t>18 aprile 2016, n. 50</w:t>
            </w:r>
            <w:r w:rsidR="009E650B">
              <w:rPr>
                <w:rFonts w:asciiTheme="minorHAnsi" w:hAnsiTheme="minorHAnsi" w:cstheme="minorHAnsi"/>
                <w:sz w:val="20"/>
                <w:szCs w:val="20"/>
              </w:rPr>
              <w:t xml:space="preserve"> </w:t>
            </w:r>
            <w:r w:rsidRPr="003B2C90">
              <w:rPr>
                <w:rFonts w:asciiTheme="minorHAnsi" w:hAnsiTheme="minorHAnsi" w:cstheme="minorHAnsi"/>
                <w:sz w:val="20"/>
                <w:szCs w:val="20"/>
              </w:rPr>
              <w:t>e delle Linee guida ANAC n. 3, recanti «</w:t>
            </w:r>
            <w:r w:rsidRPr="003B2C90">
              <w:rPr>
                <w:rFonts w:asciiTheme="minorHAnsi" w:hAnsiTheme="minorHAnsi" w:cstheme="minorHAnsi"/>
                <w:i/>
                <w:sz w:val="20"/>
                <w:szCs w:val="20"/>
              </w:rPr>
              <w:t>Nomina, ruolo e compiti del responsabile unico del procedimento per l’affidamento di appalti e concessioni</w:t>
            </w:r>
            <w:r w:rsidRPr="003B2C90">
              <w:rPr>
                <w:rFonts w:asciiTheme="minorHAnsi" w:hAnsiTheme="minorHAnsi" w:cstheme="minorHAnsi"/>
                <w:sz w:val="20"/>
                <w:szCs w:val="20"/>
              </w:rPr>
              <w:t>», questa amministrazione ha i</w:t>
            </w:r>
            <w:r w:rsidR="009E650B">
              <w:rPr>
                <w:rFonts w:asciiTheme="minorHAnsi" w:hAnsiTheme="minorHAnsi" w:cstheme="minorHAnsi"/>
                <w:sz w:val="20"/>
                <w:szCs w:val="20"/>
              </w:rPr>
              <w:t>ndividuato nel</w:t>
            </w:r>
            <w:r w:rsidR="00920983">
              <w:rPr>
                <w:rFonts w:asciiTheme="minorHAnsi" w:hAnsiTheme="minorHAnsi" w:cstheme="minorHAnsi"/>
                <w:sz w:val="20"/>
                <w:szCs w:val="20"/>
              </w:rPr>
              <w:t>/nel</w:t>
            </w:r>
            <w:r w:rsidR="009E650B">
              <w:rPr>
                <w:rFonts w:asciiTheme="minorHAnsi" w:hAnsiTheme="minorHAnsi" w:cstheme="minorHAnsi"/>
                <w:sz w:val="20"/>
                <w:szCs w:val="20"/>
              </w:rPr>
              <w:t>la Dott.</w:t>
            </w:r>
            <w:r w:rsidR="00920983">
              <w:rPr>
                <w:rFonts w:asciiTheme="minorHAnsi" w:hAnsiTheme="minorHAnsi" w:cstheme="minorHAnsi"/>
                <w:sz w:val="20"/>
                <w:szCs w:val="20"/>
              </w:rPr>
              <w:t>/</w:t>
            </w:r>
            <w:r w:rsidRPr="003B2C90">
              <w:rPr>
                <w:rFonts w:asciiTheme="minorHAnsi" w:hAnsiTheme="minorHAnsi" w:cstheme="minorHAnsi"/>
                <w:sz w:val="20"/>
                <w:szCs w:val="20"/>
              </w:rPr>
              <w:t>Dott.</w:t>
            </w:r>
            <w:r w:rsidR="009E650B">
              <w:rPr>
                <w:rFonts w:asciiTheme="minorHAnsi" w:hAnsiTheme="minorHAnsi" w:cstheme="minorHAnsi"/>
                <w:sz w:val="20"/>
                <w:szCs w:val="20"/>
              </w:rPr>
              <w:t>ssa</w:t>
            </w:r>
            <w:r w:rsidRPr="003B2C90">
              <w:rPr>
                <w:rFonts w:asciiTheme="minorHAnsi" w:hAnsiTheme="minorHAnsi" w:cstheme="minorHAnsi"/>
                <w:sz w:val="20"/>
                <w:szCs w:val="20"/>
              </w:rPr>
              <w:t xml:space="preserve"> </w:t>
            </w:r>
            <w:r w:rsidRPr="006D35A2">
              <w:rPr>
                <w:rFonts w:ascii="Calibri" w:hAnsi="Calibri" w:cs="Calibri"/>
                <w:spacing w:val="-7"/>
                <w:position w:val="1"/>
                <w:highlight w:val="cyan"/>
                <w:lang w:val="pt-BR"/>
              </w:rPr>
              <w:t>[...]</w:t>
            </w:r>
            <w:r w:rsidRPr="003B2C90">
              <w:rPr>
                <w:rFonts w:asciiTheme="minorHAnsi" w:hAnsiTheme="minorHAnsi" w:cstheme="minorHAnsi"/>
                <w:sz w:val="20"/>
                <w:szCs w:val="20"/>
              </w:rPr>
              <w:t xml:space="preserve">, </w:t>
            </w:r>
            <w:r w:rsidRPr="002E1148">
              <w:rPr>
                <w:rFonts w:asciiTheme="minorHAnsi" w:hAnsiTheme="minorHAnsi" w:cstheme="minorHAnsi"/>
                <w:sz w:val="20"/>
                <w:szCs w:val="20"/>
                <w:highlight w:val="cyan"/>
              </w:rPr>
              <w:t>[DS/DSGA]</w:t>
            </w:r>
            <w:r w:rsidRPr="003B2C90">
              <w:rPr>
                <w:rFonts w:asciiTheme="minorHAnsi" w:hAnsiTheme="minorHAnsi" w:cstheme="minorHAnsi"/>
                <w:sz w:val="20"/>
                <w:szCs w:val="20"/>
              </w:rPr>
              <w:t xml:space="preserve"> il soggetto idoneo a ricoprire l’incarico di RUP per </w:t>
            </w:r>
            <w:r w:rsidR="00920983">
              <w:rPr>
                <w:rFonts w:asciiTheme="minorHAnsi" w:hAnsiTheme="minorHAnsi" w:cstheme="minorHAnsi"/>
                <w:sz w:val="20"/>
                <w:szCs w:val="20"/>
              </w:rPr>
              <w:t>la procedura</w:t>
            </w:r>
            <w:r w:rsidRPr="003B2C90">
              <w:rPr>
                <w:rFonts w:asciiTheme="minorHAnsi" w:hAnsiTheme="minorHAnsi" w:cstheme="minorHAnsi"/>
                <w:sz w:val="20"/>
                <w:szCs w:val="20"/>
              </w:rPr>
              <w:t xml:space="preserve"> in oggetto</w:t>
            </w:r>
            <w:r w:rsidR="00EF14B0">
              <w:rPr>
                <w:rFonts w:asciiTheme="minorHAnsi" w:hAnsiTheme="minorHAnsi" w:cstheme="minorHAnsi"/>
                <w:sz w:val="20"/>
                <w:szCs w:val="20"/>
              </w:rPr>
              <w:t>,</w:t>
            </w:r>
            <w:r w:rsidRPr="003B2C90">
              <w:rPr>
                <w:rFonts w:asciiTheme="minorHAnsi" w:hAnsiTheme="minorHAnsi" w:cstheme="minorHAnsi"/>
                <w:sz w:val="20"/>
                <w:szCs w:val="20"/>
              </w:rPr>
              <w:t xml:space="preserve"> in quant</w:t>
            </w:r>
            <w:r w:rsidR="00EF14B0">
              <w:rPr>
                <w:rFonts w:asciiTheme="minorHAnsi" w:hAnsiTheme="minorHAnsi" w:cstheme="minorHAnsi"/>
                <w:sz w:val="20"/>
                <w:szCs w:val="20"/>
              </w:rPr>
              <w:t>o</w:t>
            </w:r>
            <w:r w:rsidRPr="003B2C90">
              <w:rPr>
                <w:rFonts w:asciiTheme="minorHAnsi" w:hAnsiTheme="minorHAnsi" w:cstheme="minorHAnsi"/>
                <w:sz w:val="20"/>
                <w:szCs w:val="20"/>
              </w:rPr>
              <w:t xml:space="preserve"> </w:t>
            </w:r>
            <w:r w:rsidR="009E650B">
              <w:rPr>
                <w:rFonts w:asciiTheme="minorHAnsi" w:hAnsiTheme="minorHAnsi" w:cstheme="minorHAnsi"/>
                <w:sz w:val="20"/>
                <w:szCs w:val="20"/>
              </w:rPr>
              <w:t>in possesso di</w:t>
            </w:r>
            <w:r w:rsidRPr="003B2C90">
              <w:rPr>
                <w:rFonts w:asciiTheme="minorHAnsi" w:hAnsiTheme="minorHAnsi" w:cstheme="minorHAnsi"/>
                <w:sz w:val="20"/>
                <w:szCs w:val="20"/>
              </w:rPr>
              <w:t xml:space="preserve"> un livello di inquadramento giuridico e competenze professionali adeguate rispetto all’incarico in questione, soddisfa i requisiti richiesti dall’art. 31, comma 1, del D. Lgs. </w:t>
            </w:r>
            <w:r w:rsidR="009E650B" w:rsidRPr="003B2C90">
              <w:rPr>
                <w:rFonts w:asciiTheme="minorHAnsi" w:hAnsiTheme="minorHAnsi" w:cstheme="minorHAnsi"/>
                <w:sz w:val="20"/>
                <w:szCs w:val="20"/>
              </w:rPr>
              <w:t>18 aprile 2016, n. 50</w:t>
            </w:r>
            <w:r w:rsidRPr="003B2C90">
              <w:rPr>
                <w:rFonts w:asciiTheme="minorHAnsi" w:hAnsiTheme="minorHAnsi" w:cstheme="minorHAnsi"/>
                <w:sz w:val="20"/>
                <w:szCs w:val="20"/>
              </w:rPr>
              <w:t>;</w:t>
            </w:r>
          </w:p>
        </w:tc>
      </w:tr>
      <w:tr w:rsidR="003C7F28" w:rsidRPr="002B4213" w14:paraId="24C8052C" w14:textId="77777777" w:rsidTr="003C7F28">
        <w:trPr>
          <w:trHeight w:val="871"/>
        </w:trPr>
        <w:tc>
          <w:tcPr>
            <w:tcW w:w="1577" w:type="dxa"/>
            <w:hideMark/>
          </w:tcPr>
          <w:p w14:paraId="77CE2E8E" w14:textId="57E9257E"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lastRenderedPageBreak/>
              <w:t>TENUTO CONTO</w:t>
            </w:r>
          </w:p>
        </w:tc>
        <w:tc>
          <w:tcPr>
            <w:tcW w:w="8067" w:type="dxa"/>
            <w:hideMark/>
          </w:tcPr>
          <w:p w14:paraId="3BDCE849" w14:textId="7C6B6918" w:rsidR="003C7F28" w:rsidRPr="003C7F28" w:rsidRDefault="00C22A27" w:rsidP="003C7F28">
            <w:pPr>
              <w:spacing w:after="120"/>
              <w:jc w:val="both"/>
              <w:rPr>
                <w:rFonts w:asciiTheme="minorHAnsi" w:hAnsiTheme="minorHAnsi" w:cstheme="minorHAnsi"/>
                <w:sz w:val="20"/>
                <w:szCs w:val="20"/>
              </w:rPr>
            </w:pPr>
            <w:r w:rsidRPr="007A1844">
              <w:rPr>
                <w:rFonts w:asciiTheme="minorHAnsi" w:hAnsiTheme="minorHAnsi" w:cstheme="minorHAnsi"/>
                <w:sz w:val="20"/>
                <w:szCs w:val="20"/>
                <w:highlight w:val="cyan"/>
              </w:rPr>
              <w:t>[</w:t>
            </w:r>
            <w:r w:rsidRPr="007A1844">
              <w:rPr>
                <w:rFonts w:asciiTheme="minorHAnsi" w:hAnsiTheme="minorHAnsi" w:cstheme="minorHAnsi"/>
                <w:i/>
                <w:sz w:val="20"/>
                <w:szCs w:val="20"/>
                <w:highlight w:val="cyan"/>
              </w:rPr>
              <w:t>eventuale, solo in caso di coincidenza del RUP con il Dirigente Scolastico</w:t>
            </w:r>
            <w:r w:rsidRPr="007A1844">
              <w:rPr>
                <w:rFonts w:asciiTheme="minorHAnsi" w:hAnsiTheme="minorHAnsi" w:cstheme="minorHAnsi"/>
                <w:sz w:val="20"/>
                <w:szCs w:val="20"/>
                <w:highlight w:val="cyan"/>
              </w:rPr>
              <w:t>]</w:t>
            </w:r>
            <w:r w:rsidRPr="003B2C90">
              <w:rPr>
                <w:rFonts w:asciiTheme="minorHAnsi" w:hAnsiTheme="minorHAnsi" w:cstheme="minorHAnsi"/>
                <w:sz w:val="20"/>
                <w:szCs w:val="20"/>
              </w:rPr>
              <w:t xml:space="preserve"> che, nella fattispecie, il RUP riveste anche le funzioni di Dirigente Scolastico, sussistendo i presupposti per la coincidenza delle due figure previsti dal paragrafo 10 delle Linee Guida ANAC n. 3;</w:t>
            </w:r>
          </w:p>
        </w:tc>
      </w:tr>
      <w:tr w:rsidR="003C7F28" w:rsidRPr="002B4213" w14:paraId="0DCF780D" w14:textId="77777777" w:rsidTr="003C7F28">
        <w:trPr>
          <w:trHeight w:val="1324"/>
        </w:trPr>
        <w:tc>
          <w:tcPr>
            <w:tcW w:w="1577" w:type="dxa"/>
            <w:hideMark/>
          </w:tcPr>
          <w:p w14:paraId="31FA3EDD"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VISTO</w:t>
            </w:r>
          </w:p>
        </w:tc>
        <w:tc>
          <w:tcPr>
            <w:tcW w:w="8067" w:type="dxa"/>
            <w:hideMark/>
          </w:tcPr>
          <w:p w14:paraId="684A84A4" w14:textId="35510337" w:rsidR="003C7F28" w:rsidRPr="003C7F28" w:rsidRDefault="00920983" w:rsidP="003C7F28">
            <w:pPr>
              <w:spacing w:after="120"/>
              <w:jc w:val="both"/>
              <w:rPr>
                <w:rFonts w:asciiTheme="minorHAnsi" w:hAnsiTheme="minorHAnsi" w:cstheme="minorHAnsi"/>
                <w:sz w:val="20"/>
                <w:szCs w:val="20"/>
              </w:rPr>
            </w:pPr>
            <w:r>
              <w:rPr>
                <w:rFonts w:asciiTheme="minorHAnsi" w:hAnsiTheme="minorHAnsi" w:cstheme="minorHAnsi"/>
                <w:sz w:val="20"/>
                <w:szCs w:val="20"/>
              </w:rPr>
              <w:t>l’Art. 6-bis della L</w:t>
            </w:r>
            <w:r w:rsidR="003C7F28" w:rsidRPr="003C7F28">
              <w:rPr>
                <w:rFonts w:asciiTheme="minorHAnsi" w:hAnsiTheme="minorHAnsi" w:cstheme="minorHAnsi"/>
                <w:sz w:val="20"/>
                <w:szCs w:val="20"/>
              </w:rPr>
              <w:t>egge 7 agosto 1990, n. 241, i</w:t>
            </w:r>
            <w:r>
              <w:rPr>
                <w:rFonts w:asciiTheme="minorHAnsi" w:hAnsiTheme="minorHAnsi" w:cstheme="minorHAnsi"/>
                <w:sz w:val="20"/>
                <w:szCs w:val="20"/>
              </w:rPr>
              <w:t>ntrodotto dall'A</w:t>
            </w:r>
            <w:r w:rsidR="003C7F28" w:rsidRPr="003C7F28">
              <w:rPr>
                <w:rFonts w:asciiTheme="minorHAnsi" w:hAnsiTheme="minorHAnsi" w:cstheme="minorHAnsi"/>
                <w:sz w:val="20"/>
                <w:szCs w:val="20"/>
              </w:rPr>
              <w:t>rt. 1, comma 41, della legge 6 novembre 2012, n. 190, relativo all’obbligo d</w:t>
            </w:r>
            <w:r w:rsidR="002C6D75">
              <w:rPr>
                <w:rFonts w:asciiTheme="minorHAnsi" w:hAnsiTheme="minorHAnsi" w:cstheme="minorHAnsi"/>
                <w:sz w:val="20"/>
                <w:szCs w:val="20"/>
              </w:rPr>
              <w:t>i astensione dall’incarico del R</w:t>
            </w:r>
            <w:r w:rsidR="003C7F28" w:rsidRPr="003C7F28">
              <w:rPr>
                <w:rFonts w:asciiTheme="minorHAnsi" w:hAnsiTheme="minorHAnsi" w:cstheme="minorHAnsi"/>
                <w:sz w:val="20"/>
                <w:szCs w:val="20"/>
              </w:rPr>
              <w:t>esponsabile</w:t>
            </w:r>
            <w:r w:rsidR="002C6D75">
              <w:rPr>
                <w:rFonts w:asciiTheme="minorHAnsi" w:hAnsiTheme="minorHAnsi" w:cstheme="minorHAnsi"/>
                <w:sz w:val="20"/>
                <w:szCs w:val="20"/>
              </w:rPr>
              <w:t xml:space="preserve"> Unico del P</w:t>
            </w:r>
            <w:r w:rsidR="003C7F28" w:rsidRPr="003C7F28">
              <w:rPr>
                <w:rFonts w:asciiTheme="minorHAnsi" w:hAnsiTheme="minorHAnsi" w:cstheme="minorHAnsi"/>
                <w:sz w:val="20"/>
                <w:szCs w:val="20"/>
              </w:rPr>
              <w:t>rocedimento in caso di conflitto di interessi, e all’obbligo di segnalazione da parte dello stesso di ogni situazione di conflitto (anche potenziale) e che, nei confronti del RUP individuato non sussistono le condizioni ostative previste dalla succitata norma;</w:t>
            </w:r>
          </w:p>
        </w:tc>
      </w:tr>
      <w:tr w:rsidR="003C7F28" w:rsidRPr="002B4213" w14:paraId="1A987A8C" w14:textId="77777777" w:rsidTr="003C7F28">
        <w:tc>
          <w:tcPr>
            <w:tcW w:w="1577" w:type="dxa"/>
            <w:hideMark/>
          </w:tcPr>
          <w:p w14:paraId="1375D55D" w14:textId="777777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DATO ATTO</w:t>
            </w:r>
          </w:p>
        </w:tc>
        <w:tc>
          <w:tcPr>
            <w:tcW w:w="8067" w:type="dxa"/>
            <w:hideMark/>
          </w:tcPr>
          <w:p w14:paraId="2A8710B3" w14:textId="3492A57F" w:rsidR="003C7F28" w:rsidRPr="003C7F28" w:rsidRDefault="00AF0071" w:rsidP="003C7F28">
            <w:pPr>
              <w:spacing w:after="120"/>
              <w:jc w:val="both"/>
              <w:rPr>
                <w:rFonts w:asciiTheme="minorHAnsi" w:hAnsiTheme="minorHAnsi" w:cstheme="minorHAnsi"/>
                <w:sz w:val="20"/>
                <w:szCs w:val="20"/>
              </w:rPr>
            </w:pPr>
            <w:r w:rsidRPr="003B2C90">
              <w:rPr>
                <w:rFonts w:asciiTheme="minorHAnsi" w:hAnsiTheme="minorHAnsi" w:cstheme="minorHAnsi"/>
                <w:sz w:val="20"/>
                <w:szCs w:val="20"/>
              </w:rPr>
              <w:t>della necessità di affidare i servizi assicurativi di cui l’Istituzione Scolastica necessita, aventi le seguenti caratteristiche: Responsabilità Civile, Infortuni, Assistenza, Tutela Legale in un unico lotto, per alunni ed operatori scolastici, le cui principali condizioni contrattuali sono state più precisamente indicate nell’indagine di mercato pubblicata da questa Amministrazione scolastica;</w:t>
            </w:r>
          </w:p>
        </w:tc>
      </w:tr>
      <w:tr w:rsidR="002C6D75" w:rsidRPr="002B4213" w14:paraId="019E4203" w14:textId="77777777" w:rsidTr="003C7F28">
        <w:tc>
          <w:tcPr>
            <w:tcW w:w="1577" w:type="dxa"/>
          </w:tcPr>
          <w:p w14:paraId="5BCE7166" w14:textId="77777777"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p w14:paraId="3EB6A6A6" w14:textId="4F506F66" w:rsidR="002C6D75" w:rsidRPr="003C7F28" w:rsidRDefault="002C6D75"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p>
        </w:tc>
        <w:tc>
          <w:tcPr>
            <w:tcW w:w="8067" w:type="dxa"/>
          </w:tcPr>
          <w:p w14:paraId="002409F2" w14:textId="19E12BA0" w:rsidR="002C6D75" w:rsidRPr="003B2C90" w:rsidRDefault="002C6D75" w:rsidP="003C7F28">
            <w:pPr>
              <w:spacing w:after="120"/>
              <w:jc w:val="both"/>
              <w:rPr>
                <w:rFonts w:asciiTheme="minorHAnsi" w:hAnsiTheme="minorHAnsi" w:cstheme="minorHAnsi"/>
                <w:sz w:val="20"/>
                <w:szCs w:val="20"/>
              </w:rPr>
            </w:pPr>
            <w:r>
              <w:rPr>
                <w:rFonts w:asciiTheme="minorHAnsi" w:hAnsiTheme="minorHAnsi" w:cstheme="minorHAnsi"/>
                <w:sz w:val="20"/>
                <w:szCs w:val="20"/>
              </w:rPr>
              <w:t>il mandato di intermediazione assicurativa (brokeraggio), che questa Amministrazione scolastica ha rilasciato alla società AB-International srl, finalizzata all’assistenza in fase selettiva e alla gestione delle polizze assicurative stipulate;</w:t>
            </w:r>
          </w:p>
        </w:tc>
      </w:tr>
      <w:tr w:rsidR="003C7F28" w:rsidRPr="002B4213" w14:paraId="3D3418C4" w14:textId="77777777" w:rsidTr="003C7F28">
        <w:trPr>
          <w:trHeight w:val="1037"/>
        </w:trPr>
        <w:tc>
          <w:tcPr>
            <w:tcW w:w="1577" w:type="dxa"/>
          </w:tcPr>
          <w:p w14:paraId="2A9697DE" w14:textId="3036188D"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p w14:paraId="71E3B924" w14:textId="12A6F877" w:rsidR="003C7F28" w:rsidRPr="003C7F28" w:rsidRDefault="003C7F28"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p>
        </w:tc>
        <w:tc>
          <w:tcPr>
            <w:tcW w:w="8067" w:type="dxa"/>
          </w:tcPr>
          <w:p w14:paraId="484293FC" w14:textId="5491E038" w:rsidR="003C7F28" w:rsidRPr="003C7F28" w:rsidRDefault="00AF0071" w:rsidP="002C6D75">
            <w:pPr>
              <w:spacing w:after="120"/>
              <w:jc w:val="both"/>
              <w:rPr>
                <w:rFonts w:asciiTheme="minorHAnsi" w:hAnsiTheme="minorHAnsi" w:cstheme="minorHAnsi"/>
                <w:sz w:val="20"/>
                <w:szCs w:val="20"/>
              </w:rPr>
            </w:pPr>
            <w:r w:rsidRPr="003B2C90">
              <w:rPr>
                <w:rFonts w:asciiTheme="minorHAnsi" w:hAnsiTheme="minorHAnsi" w:cstheme="minorHAnsi"/>
                <w:sz w:val="20"/>
                <w:szCs w:val="20"/>
              </w:rPr>
              <w:t xml:space="preserve">che la spesa complessiva per il servizio in </w:t>
            </w:r>
            <w:r>
              <w:rPr>
                <w:rFonts w:asciiTheme="minorHAnsi" w:hAnsiTheme="minorHAnsi" w:cstheme="minorHAnsi"/>
                <w:sz w:val="20"/>
                <w:szCs w:val="20"/>
              </w:rPr>
              <w:t>oggetto</w:t>
            </w:r>
            <w:r w:rsidRPr="003B2C90">
              <w:rPr>
                <w:rFonts w:asciiTheme="minorHAnsi" w:hAnsiTheme="minorHAnsi" w:cstheme="minorHAnsi"/>
                <w:sz w:val="20"/>
                <w:szCs w:val="20"/>
              </w:rPr>
              <w:t xml:space="preserve">, a seguito della ricognizione </w:t>
            </w:r>
            <w:r w:rsidR="00C43AB4" w:rsidRPr="003B2C90">
              <w:rPr>
                <w:rFonts w:asciiTheme="minorHAnsi" w:hAnsiTheme="minorHAnsi" w:cstheme="minorHAnsi"/>
                <w:sz w:val="20"/>
                <w:szCs w:val="20"/>
              </w:rPr>
              <w:t>svolta, ammonta</w:t>
            </w:r>
            <w:r w:rsidRPr="003B2C90">
              <w:rPr>
                <w:rFonts w:asciiTheme="minorHAnsi" w:hAnsiTheme="minorHAnsi" w:cstheme="minorHAnsi"/>
                <w:sz w:val="20"/>
                <w:szCs w:val="20"/>
              </w:rPr>
              <w:t xml:space="preserve"> ad € </w:t>
            </w:r>
            <w:r w:rsidRPr="002E1148">
              <w:rPr>
                <w:rFonts w:asciiTheme="minorHAnsi" w:hAnsiTheme="minorHAnsi" w:cstheme="minorHAnsi"/>
                <w:sz w:val="20"/>
                <w:szCs w:val="20"/>
                <w:highlight w:val="cyan"/>
              </w:rPr>
              <w:t>[…] (lettere)</w:t>
            </w:r>
            <w:r w:rsidRPr="003B2C90">
              <w:rPr>
                <w:rFonts w:asciiTheme="minorHAnsi" w:hAnsiTheme="minorHAnsi" w:cstheme="minorHAnsi"/>
                <w:sz w:val="20"/>
                <w:szCs w:val="20"/>
              </w:rPr>
              <w:t xml:space="preserve"> pro capite per anno, per complessivi </w:t>
            </w:r>
            <w:r w:rsidR="00C43AB4" w:rsidRPr="003B2C90">
              <w:rPr>
                <w:rFonts w:asciiTheme="minorHAnsi" w:hAnsiTheme="minorHAnsi" w:cstheme="minorHAnsi"/>
                <w:sz w:val="20"/>
                <w:szCs w:val="20"/>
              </w:rPr>
              <w:t>€ [</w:t>
            </w:r>
            <w:r w:rsidRPr="002E1148">
              <w:rPr>
                <w:rFonts w:asciiTheme="minorHAnsi" w:hAnsiTheme="minorHAnsi" w:cstheme="minorHAnsi"/>
                <w:sz w:val="20"/>
                <w:szCs w:val="20"/>
                <w:highlight w:val="cyan"/>
              </w:rPr>
              <w:t>…] (</w:t>
            </w:r>
            <w:r w:rsidR="00D8707D" w:rsidRPr="002E1148">
              <w:rPr>
                <w:rFonts w:asciiTheme="minorHAnsi" w:hAnsiTheme="minorHAnsi" w:cstheme="minorHAnsi"/>
                <w:sz w:val="20"/>
                <w:szCs w:val="20"/>
                <w:highlight w:val="cyan"/>
              </w:rPr>
              <w:t>lettere)</w:t>
            </w:r>
            <w:r w:rsidR="00D8707D" w:rsidRPr="003B2C90">
              <w:rPr>
                <w:rFonts w:asciiTheme="minorHAnsi" w:hAnsiTheme="minorHAnsi" w:cstheme="minorHAnsi"/>
                <w:sz w:val="20"/>
                <w:szCs w:val="20"/>
              </w:rPr>
              <w:t xml:space="preserve"> annui</w:t>
            </w:r>
            <w:r w:rsidRPr="003B2C90">
              <w:rPr>
                <w:rFonts w:asciiTheme="minorHAnsi" w:hAnsiTheme="minorHAnsi" w:cstheme="minorHAnsi"/>
                <w:sz w:val="20"/>
                <w:szCs w:val="20"/>
              </w:rPr>
              <w:t xml:space="preserve"> e pari a € </w:t>
            </w:r>
            <w:r w:rsidRPr="002E1148">
              <w:rPr>
                <w:rFonts w:asciiTheme="minorHAnsi" w:hAnsiTheme="minorHAnsi" w:cstheme="minorHAnsi"/>
                <w:sz w:val="20"/>
                <w:szCs w:val="20"/>
                <w:highlight w:val="cyan"/>
              </w:rPr>
              <w:t>[…] (lettere)</w:t>
            </w:r>
            <w:r w:rsidRPr="003B2C90">
              <w:rPr>
                <w:rFonts w:asciiTheme="minorHAnsi" w:hAnsiTheme="minorHAnsi" w:cstheme="minorHAnsi"/>
                <w:sz w:val="20"/>
                <w:szCs w:val="20"/>
              </w:rPr>
              <w:t xml:space="preserve"> per l’intera durata contrattuale e pari a € </w:t>
            </w:r>
            <w:r w:rsidRPr="002E1148">
              <w:rPr>
                <w:rFonts w:asciiTheme="minorHAnsi" w:hAnsiTheme="minorHAnsi" w:cstheme="minorHAnsi"/>
                <w:sz w:val="20"/>
                <w:szCs w:val="20"/>
                <w:highlight w:val="cyan"/>
              </w:rPr>
              <w:t>[…] (lettere)</w:t>
            </w:r>
            <w:r w:rsidRPr="003B2C90">
              <w:rPr>
                <w:rFonts w:asciiTheme="minorHAnsi" w:hAnsiTheme="minorHAnsi" w:cstheme="minorHAnsi"/>
                <w:sz w:val="20"/>
                <w:szCs w:val="20"/>
              </w:rPr>
              <w:t xml:space="preserve"> comprensivi della quota di premio relativa alla eventuale proroga;</w:t>
            </w:r>
          </w:p>
        </w:tc>
      </w:tr>
      <w:tr w:rsidR="002C6D75" w:rsidRPr="002B4213" w14:paraId="45E29257" w14:textId="77777777" w:rsidTr="002C6D75">
        <w:trPr>
          <w:trHeight w:val="753"/>
        </w:trPr>
        <w:tc>
          <w:tcPr>
            <w:tcW w:w="1577" w:type="dxa"/>
          </w:tcPr>
          <w:p w14:paraId="3EBF3784" w14:textId="29FB8B53" w:rsidR="002C6D75" w:rsidRPr="003C7F28" w:rsidRDefault="002C6D75" w:rsidP="003C7F28">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tc>
        <w:tc>
          <w:tcPr>
            <w:tcW w:w="8067" w:type="dxa"/>
          </w:tcPr>
          <w:p w14:paraId="48C1979F" w14:textId="551BAA8A" w:rsidR="002C6D75" w:rsidRPr="003B2C90" w:rsidRDefault="002C6D75" w:rsidP="002C6D75">
            <w:pPr>
              <w:spacing w:after="120"/>
              <w:jc w:val="both"/>
              <w:rPr>
                <w:rFonts w:asciiTheme="minorHAnsi" w:hAnsiTheme="minorHAnsi" w:cstheme="minorHAnsi"/>
                <w:sz w:val="20"/>
                <w:szCs w:val="20"/>
              </w:rPr>
            </w:pPr>
            <w:r w:rsidRPr="003C7F28">
              <w:rPr>
                <w:rFonts w:asciiTheme="minorHAnsi" w:hAnsiTheme="minorHAnsi" w:cstheme="minorHAnsi"/>
                <w:sz w:val="20"/>
                <w:szCs w:val="20"/>
              </w:rPr>
              <w:t>che gli oneri di sicurezza per l’eliminazione dei rischi da interferenza, non soggetti a ribasso, sono pari a 0,00 € (zero,00), in quanto non sono previsti rischi interferenziali di cui all’art.</w:t>
            </w:r>
            <w:r>
              <w:rPr>
                <w:rFonts w:asciiTheme="minorHAnsi" w:hAnsiTheme="minorHAnsi" w:cstheme="minorHAnsi"/>
                <w:sz w:val="20"/>
                <w:szCs w:val="20"/>
              </w:rPr>
              <w:t xml:space="preserve"> 26, co. 3, del D. Lgs. 81/2008;</w:t>
            </w:r>
          </w:p>
        </w:tc>
      </w:tr>
      <w:tr w:rsidR="002C6D75" w:rsidRPr="002B4213" w14:paraId="57B7009C" w14:textId="77777777" w:rsidTr="002C6D75">
        <w:trPr>
          <w:trHeight w:val="169"/>
        </w:trPr>
        <w:tc>
          <w:tcPr>
            <w:tcW w:w="1577" w:type="dxa"/>
          </w:tcPr>
          <w:p w14:paraId="697BD81A" w14:textId="35B0E36B"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Pr>
                <w:rFonts w:asciiTheme="minorHAnsi" w:hAnsiTheme="minorHAnsi" w:cstheme="minorHAnsi"/>
                <w:b/>
                <w:sz w:val="20"/>
                <w:szCs w:val="20"/>
              </w:rPr>
              <w:t>PRESO ATTO</w:t>
            </w:r>
          </w:p>
        </w:tc>
        <w:tc>
          <w:tcPr>
            <w:tcW w:w="8067" w:type="dxa"/>
          </w:tcPr>
          <w:p w14:paraId="4F1E47D8" w14:textId="27A5E339" w:rsidR="002C6D75" w:rsidRPr="003B2C90" w:rsidRDefault="002C6D75" w:rsidP="002C6D75">
            <w:pPr>
              <w:spacing w:after="120"/>
              <w:jc w:val="both"/>
              <w:rPr>
                <w:rFonts w:asciiTheme="minorHAnsi" w:hAnsiTheme="minorHAnsi" w:cstheme="minorHAnsi"/>
                <w:sz w:val="20"/>
                <w:szCs w:val="20"/>
              </w:rPr>
            </w:pPr>
            <w:r w:rsidRPr="003B2C90">
              <w:rPr>
                <w:rFonts w:asciiTheme="minorHAnsi" w:hAnsiTheme="minorHAnsi" w:cstheme="minorHAnsi"/>
                <w:sz w:val="20"/>
                <w:szCs w:val="20"/>
              </w:rPr>
              <w:t>che, ai sensi dell’Art. 1, commi 65 e 67, della Legge 23 dicembre 2005, n. 266, questa Amministrazione ha acquisito il Codice Identificativo di Gara (CIG)</w:t>
            </w:r>
            <w:r>
              <w:rPr>
                <w:rFonts w:asciiTheme="minorHAnsi" w:hAnsiTheme="minorHAnsi" w:cstheme="minorHAnsi"/>
                <w:sz w:val="20"/>
                <w:szCs w:val="20"/>
              </w:rPr>
              <w:t xml:space="preserve"> riportato in oggetto</w:t>
            </w:r>
            <w:r w:rsidRPr="003B2C90">
              <w:rPr>
                <w:rFonts w:asciiTheme="minorHAnsi" w:hAnsiTheme="minorHAnsi" w:cstheme="minorHAnsi"/>
                <w:sz w:val="20"/>
                <w:szCs w:val="20"/>
              </w:rPr>
              <w:t>;</w:t>
            </w:r>
          </w:p>
        </w:tc>
      </w:tr>
      <w:tr w:rsidR="002C6D75" w:rsidRPr="002B4213" w14:paraId="7844BF06" w14:textId="77777777" w:rsidTr="003C7F28">
        <w:tc>
          <w:tcPr>
            <w:tcW w:w="1577" w:type="dxa"/>
            <w:hideMark/>
          </w:tcPr>
          <w:p w14:paraId="3E557D94" w14:textId="5F70B873"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Pr>
                <w:rFonts w:asciiTheme="minorHAnsi" w:hAnsiTheme="minorHAnsi" w:cstheme="minorHAnsi"/>
                <w:b/>
                <w:sz w:val="20"/>
                <w:szCs w:val="20"/>
              </w:rPr>
              <w:t>CONSIDERATA</w:t>
            </w:r>
          </w:p>
        </w:tc>
        <w:tc>
          <w:tcPr>
            <w:tcW w:w="8067" w:type="dxa"/>
            <w:hideMark/>
          </w:tcPr>
          <w:p w14:paraId="70BF5C4C" w14:textId="2EECACE5" w:rsidR="002C6D75" w:rsidRPr="003C7F28" w:rsidRDefault="002C6D75" w:rsidP="002C6D75">
            <w:pPr>
              <w:spacing w:after="120"/>
              <w:jc w:val="both"/>
              <w:rPr>
                <w:rFonts w:asciiTheme="minorHAnsi" w:hAnsiTheme="minorHAnsi" w:cstheme="minorHAnsi"/>
                <w:sz w:val="20"/>
                <w:szCs w:val="20"/>
              </w:rPr>
            </w:pPr>
            <w:r w:rsidRPr="003B2C90">
              <w:rPr>
                <w:rFonts w:asciiTheme="minorHAnsi" w:hAnsiTheme="minorHAnsi" w:cstheme="minorHAnsi"/>
                <w:sz w:val="20"/>
                <w:szCs w:val="20"/>
              </w:rPr>
              <w:t xml:space="preserve">la durata contrattuale pari a </w:t>
            </w:r>
            <w:r w:rsidRPr="002E1148">
              <w:rPr>
                <w:rFonts w:asciiTheme="minorHAnsi" w:hAnsiTheme="minorHAnsi" w:cstheme="minorHAnsi"/>
                <w:sz w:val="20"/>
                <w:szCs w:val="20"/>
                <w:highlight w:val="cyan"/>
              </w:rPr>
              <w:t>[…] (lettere)</w:t>
            </w:r>
            <w:r w:rsidRPr="003B2C90">
              <w:rPr>
                <w:rFonts w:asciiTheme="minorHAnsi" w:hAnsiTheme="minorHAnsi" w:cstheme="minorHAnsi"/>
                <w:sz w:val="20"/>
                <w:szCs w:val="20"/>
              </w:rPr>
              <w:t xml:space="preserve"> mesi, fatta salva, su richiesta dell’Amministrazione scolastica, la facoltà di prorogare il contratto alle medesime modalità e condizioni, fino ad un massimo di mesi 6, nelle more dell’affidamento per l’individuazione del nuovo contraente;</w:t>
            </w:r>
          </w:p>
        </w:tc>
      </w:tr>
      <w:tr w:rsidR="002C6D75" w:rsidRPr="002B4213" w14:paraId="1C4120CF" w14:textId="77777777" w:rsidTr="003C7F28">
        <w:tc>
          <w:tcPr>
            <w:tcW w:w="1577" w:type="dxa"/>
          </w:tcPr>
          <w:p w14:paraId="6524DFD3" w14:textId="77777777"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p w14:paraId="7E31E4A6" w14:textId="77777777" w:rsidR="002C6D75"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p>
        </w:tc>
        <w:tc>
          <w:tcPr>
            <w:tcW w:w="8067" w:type="dxa"/>
          </w:tcPr>
          <w:p w14:paraId="5B1DAB4A" w14:textId="169C50DE" w:rsidR="002C6D75" w:rsidRPr="003B2C90" w:rsidRDefault="002C6D75" w:rsidP="002C6D75">
            <w:pPr>
              <w:spacing w:after="120"/>
              <w:jc w:val="both"/>
              <w:rPr>
                <w:rFonts w:asciiTheme="minorHAnsi" w:hAnsiTheme="minorHAnsi" w:cstheme="minorHAnsi"/>
                <w:sz w:val="20"/>
                <w:szCs w:val="20"/>
              </w:rPr>
            </w:pPr>
            <w:r w:rsidRPr="003B2C90">
              <w:rPr>
                <w:rFonts w:asciiTheme="minorHAnsi" w:hAnsiTheme="minorHAnsi" w:cstheme="minorHAnsi"/>
                <w:sz w:val="20"/>
                <w:szCs w:val="20"/>
              </w:rPr>
              <w:t xml:space="preserve">che ai sensi dell’art. 29 del D. Lgs. 18 aprile 2016, n. 50 la scrivente Amministrazione scolastica ha provveduto, in data </w:t>
            </w:r>
            <w:r w:rsidRPr="002E1148">
              <w:rPr>
                <w:rFonts w:asciiTheme="minorHAnsi" w:hAnsiTheme="minorHAnsi" w:cstheme="minorHAnsi"/>
                <w:sz w:val="20"/>
                <w:szCs w:val="20"/>
                <w:highlight w:val="cyan"/>
              </w:rPr>
              <w:t>gg/mm/aaaa</w:t>
            </w:r>
            <w:r w:rsidRPr="003B2C90">
              <w:rPr>
                <w:rFonts w:asciiTheme="minorHAnsi" w:hAnsiTheme="minorHAnsi" w:cstheme="minorHAnsi"/>
                <w:sz w:val="20"/>
                <w:szCs w:val="20"/>
              </w:rPr>
              <w:t xml:space="preserve">, con Prot. n. </w:t>
            </w:r>
            <w:r w:rsidRPr="006D35A2">
              <w:rPr>
                <w:rFonts w:ascii="Calibri" w:hAnsi="Calibri" w:cs="Calibri"/>
                <w:spacing w:val="-7"/>
                <w:position w:val="1"/>
                <w:highlight w:val="cyan"/>
                <w:lang w:val="pt-BR"/>
              </w:rPr>
              <w:t>[...]</w:t>
            </w:r>
            <w:r w:rsidRPr="003B2C90">
              <w:rPr>
                <w:rFonts w:asciiTheme="minorHAnsi" w:hAnsiTheme="minorHAnsi" w:cstheme="minorHAnsi"/>
                <w:sz w:val="20"/>
                <w:szCs w:val="20"/>
              </w:rPr>
              <w:t xml:space="preserve"> alla pubblicazione di un Avviso di indagine esplorativa sul proprio sito internet all’indirizzo web: </w:t>
            </w:r>
            <w:r w:rsidRPr="006D35A2">
              <w:rPr>
                <w:rFonts w:ascii="Calibri" w:hAnsi="Calibri" w:cs="Calibri"/>
                <w:spacing w:val="-7"/>
                <w:position w:val="1"/>
                <w:highlight w:val="cyan"/>
                <w:lang w:val="pt-BR"/>
              </w:rPr>
              <w:t>[...]</w:t>
            </w:r>
            <w:r w:rsidRPr="003B2C90">
              <w:rPr>
                <w:rFonts w:asciiTheme="minorHAnsi" w:hAnsiTheme="minorHAnsi" w:cstheme="minorHAnsi"/>
                <w:sz w:val="20"/>
                <w:szCs w:val="20"/>
              </w:rPr>
              <w:t xml:space="preserve"> nella sezione Amministrazione trasparente/Albo online;</w:t>
            </w:r>
          </w:p>
        </w:tc>
      </w:tr>
      <w:tr w:rsidR="002C6D75" w:rsidRPr="002B4213" w14:paraId="06F4FD57" w14:textId="77777777" w:rsidTr="00AF0071">
        <w:tc>
          <w:tcPr>
            <w:tcW w:w="1577" w:type="dxa"/>
            <w:shd w:val="clear" w:color="auto" w:fill="auto"/>
          </w:tcPr>
          <w:p w14:paraId="76DB42C0" w14:textId="77777777"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p w14:paraId="2FDE7FA0" w14:textId="77777777"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p>
        </w:tc>
        <w:tc>
          <w:tcPr>
            <w:tcW w:w="8067" w:type="dxa"/>
            <w:shd w:val="clear" w:color="auto" w:fill="auto"/>
          </w:tcPr>
          <w:p w14:paraId="05D2E702" w14:textId="775CF44C" w:rsidR="002C6D75" w:rsidRPr="003C7F28" w:rsidRDefault="002C6D75" w:rsidP="002C6D75">
            <w:pPr>
              <w:spacing w:after="120"/>
              <w:jc w:val="both"/>
              <w:rPr>
                <w:rFonts w:asciiTheme="minorHAnsi" w:hAnsiTheme="minorHAnsi" w:cstheme="minorHAnsi"/>
                <w:sz w:val="20"/>
                <w:szCs w:val="20"/>
              </w:rPr>
            </w:pPr>
            <w:r w:rsidRPr="003B2C90">
              <w:rPr>
                <w:rFonts w:asciiTheme="minorHAnsi" w:hAnsiTheme="minorHAnsi" w:cstheme="minorHAnsi"/>
                <w:sz w:val="20"/>
                <w:szCs w:val="20"/>
              </w:rPr>
              <w:t>che al fine della selezione dell’operatore economico maggiormente idoneo, i parametri generali considerati sono stati: aderenza al capitolato speciale proposto, massimali, franchigie, esclusioni, premio, come più precisamente indicati nella procedura messa in atto attraverso apposito Avviso pubblicato da questa Amministrazione scolastica;</w:t>
            </w:r>
          </w:p>
        </w:tc>
      </w:tr>
      <w:tr w:rsidR="002C6D75" w:rsidRPr="002B4213" w14:paraId="6A11B34D" w14:textId="77777777" w:rsidTr="00AF0071">
        <w:tc>
          <w:tcPr>
            <w:tcW w:w="1577" w:type="dxa"/>
            <w:shd w:val="clear" w:color="auto" w:fill="auto"/>
          </w:tcPr>
          <w:p w14:paraId="1B1D8D66" w14:textId="56EDC6F9"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tc>
        <w:tc>
          <w:tcPr>
            <w:tcW w:w="8067" w:type="dxa"/>
            <w:shd w:val="clear" w:color="auto" w:fill="auto"/>
          </w:tcPr>
          <w:p w14:paraId="57C635FB" w14:textId="3282A9BF" w:rsidR="002C6D75" w:rsidRPr="003C7F28" w:rsidRDefault="002C6D75" w:rsidP="00D5054B">
            <w:pPr>
              <w:spacing w:after="120"/>
              <w:jc w:val="both"/>
              <w:rPr>
                <w:rFonts w:asciiTheme="minorHAnsi" w:hAnsiTheme="minorHAnsi" w:cstheme="minorHAnsi"/>
                <w:sz w:val="20"/>
                <w:szCs w:val="20"/>
              </w:rPr>
            </w:pPr>
            <w:r w:rsidRPr="003B2C90">
              <w:rPr>
                <w:rFonts w:asciiTheme="minorHAnsi" w:hAnsiTheme="minorHAnsi" w:cstheme="minorHAnsi"/>
                <w:sz w:val="20"/>
                <w:szCs w:val="20"/>
              </w:rPr>
              <w:t xml:space="preserve">che le prestazioni, di cui all’Avviso di indagine </w:t>
            </w:r>
            <w:r>
              <w:rPr>
                <w:rFonts w:asciiTheme="minorHAnsi" w:hAnsiTheme="minorHAnsi" w:cstheme="minorHAnsi"/>
                <w:sz w:val="20"/>
                <w:szCs w:val="20"/>
              </w:rPr>
              <w:t>si compongono di un Unico L</w:t>
            </w:r>
            <w:r w:rsidRPr="003B2C90">
              <w:rPr>
                <w:rFonts w:asciiTheme="minorHAnsi" w:hAnsiTheme="minorHAnsi" w:cstheme="minorHAnsi"/>
                <w:sz w:val="20"/>
                <w:szCs w:val="20"/>
              </w:rPr>
              <w:t>otto prestazionale e funzionale, in quanto le speciali esigenze di sicurezza dell’Amministrazione scrivent</w:t>
            </w:r>
            <w:r w:rsidR="00496C69">
              <w:rPr>
                <w:rFonts w:asciiTheme="minorHAnsi" w:hAnsiTheme="minorHAnsi" w:cstheme="minorHAnsi"/>
                <w:sz w:val="20"/>
                <w:szCs w:val="20"/>
              </w:rPr>
              <w:t>e</w:t>
            </w:r>
            <w:r w:rsidRPr="003B2C90">
              <w:rPr>
                <w:rFonts w:asciiTheme="minorHAnsi" w:hAnsiTheme="minorHAnsi" w:cstheme="minorHAnsi"/>
                <w:sz w:val="20"/>
                <w:szCs w:val="20"/>
              </w:rPr>
              <w:t xml:space="preserve"> impongono una gestione unitaria del Servizio che garantisca il coordinamento pieno ed effettivo tra le varie linee di attività oggetto dell’affidamento e un’efficiente gestione del sistema di monitoraggio e controllo dei servizi;</w:t>
            </w:r>
          </w:p>
        </w:tc>
      </w:tr>
      <w:tr w:rsidR="002C6D75" w:rsidRPr="002B4213" w14:paraId="6AFF558F" w14:textId="77777777" w:rsidTr="003C7F28">
        <w:tc>
          <w:tcPr>
            <w:tcW w:w="1577" w:type="dxa"/>
            <w:shd w:val="clear" w:color="auto" w:fill="auto"/>
          </w:tcPr>
          <w:p w14:paraId="16A9CC37" w14:textId="6E4C9165"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tc>
        <w:tc>
          <w:tcPr>
            <w:tcW w:w="8067" w:type="dxa"/>
            <w:shd w:val="clear" w:color="auto" w:fill="auto"/>
          </w:tcPr>
          <w:p w14:paraId="0B0C1E9E" w14:textId="466AFF71" w:rsidR="002C6D75" w:rsidRPr="003C7F28" w:rsidRDefault="002C6D75" w:rsidP="007A1844">
            <w:pPr>
              <w:spacing w:after="120"/>
              <w:jc w:val="both"/>
              <w:rPr>
                <w:rFonts w:asciiTheme="minorHAnsi" w:hAnsiTheme="minorHAnsi" w:cstheme="minorHAnsi"/>
                <w:sz w:val="20"/>
                <w:szCs w:val="20"/>
              </w:rPr>
            </w:pPr>
            <w:r w:rsidRPr="002E1148">
              <w:rPr>
                <w:rFonts w:asciiTheme="minorHAnsi" w:hAnsiTheme="minorHAnsi" w:cstheme="minorHAnsi"/>
                <w:sz w:val="20"/>
                <w:szCs w:val="20"/>
                <w:highlight w:val="cyan"/>
              </w:rPr>
              <w:t>[</w:t>
            </w:r>
            <w:r w:rsidRPr="002C6D75">
              <w:rPr>
                <w:rFonts w:asciiTheme="minorHAnsi" w:hAnsiTheme="minorHAnsi" w:cstheme="minorHAnsi"/>
                <w:i/>
                <w:sz w:val="20"/>
                <w:szCs w:val="20"/>
                <w:highlight w:val="cyan"/>
              </w:rPr>
              <w:t>eventuale</w:t>
            </w:r>
            <w:r w:rsidRPr="002E1148">
              <w:rPr>
                <w:rFonts w:asciiTheme="minorHAnsi" w:hAnsiTheme="minorHAnsi" w:cstheme="minorHAnsi"/>
                <w:sz w:val="20"/>
                <w:szCs w:val="20"/>
                <w:highlight w:val="cyan"/>
              </w:rPr>
              <w:t>]</w:t>
            </w:r>
            <w:r w:rsidRPr="003B2C90">
              <w:rPr>
                <w:rFonts w:asciiTheme="minorHAnsi" w:hAnsiTheme="minorHAnsi" w:cstheme="minorHAnsi"/>
                <w:sz w:val="20"/>
                <w:szCs w:val="20"/>
              </w:rPr>
              <w:t xml:space="preserve"> che nel procedere alla selezione, in applicazione del Principio di Rotazione, l’</w:t>
            </w:r>
            <w:r>
              <w:rPr>
                <w:rFonts w:asciiTheme="minorHAnsi" w:hAnsiTheme="minorHAnsi" w:cstheme="minorHAnsi"/>
                <w:sz w:val="20"/>
                <w:szCs w:val="20"/>
              </w:rPr>
              <w:t>Amministrazione scolastica h</w:t>
            </w:r>
            <w:r w:rsidRPr="003B2C90">
              <w:rPr>
                <w:rFonts w:asciiTheme="minorHAnsi" w:hAnsiTheme="minorHAnsi" w:cstheme="minorHAnsi"/>
                <w:sz w:val="20"/>
                <w:szCs w:val="20"/>
              </w:rPr>
              <w:t>a valutato anche l’offerta dell’operatore risultato aggiudicatario nella precedente procedura, oltre alle offerte pervenute da parte di operatori economici invitati nelle precedenti procedure e risultati</w:t>
            </w:r>
            <w:r>
              <w:rPr>
                <w:rFonts w:asciiTheme="minorHAnsi" w:hAnsiTheme="minorHAnsi" w:cstheme="minorHAnsi"/>
                <w:sz w:val="20"/>
                <w:szCs w:val="20"/>
              </w:rPr>
              <w:t xml:space="preserve"> non aggiudicatari</w:t>
            </w:r>
            <w:r w:rsidR="007A1844">
              <w:rPr>
                <w:rFonts w:asciiTheme="minorHAnsi" w:hAnsiTheme="minorHAnsi" w:cstheme="minorHAnsi"/>
                <w:sz w:val="20"/>
                <w:szCs w:val="20"/>
              </w:rPr>
              <w:t>,</w:t>
            </w:r>
            <w:r>
              <w:rPr>
                <w:rFonts w:asciiTheme="minorHAnsi" w:hAnsiTheme="minorHAnsi" w:cstheme="minorHAnsi"/>
                <w:sz w:val="20"/>
                <w:szCs w:val="20"/>
              </w:rPr>
              <w:t xml:space="preserve"> tenuto conto </w:t>
            </w:r>
            <w:r w:rsidRPr="003B2C90">
              <w:rPr>
                <w:rFonts w:asciiTheme="minorHAnsi" w:hAnsiTheme="minorHAnsi" w:cstheme="minorHAnsi"/>
                <w:sz w:val="20"/>
                <w:szCs w:val="20"/>
              </w:rPr>
              <w:t>della particolare struttura del mercato assicurativo scolastico, del ridotto n</w:t>
            </w:r>
            <w:r w:rsidR="007A1844">
              <w:rPr>
                <w:rFonts w:asciiTheme="minorHAnsi" w:hAnsiTheme="minorHAnsi" w:cstheme="minorHAnsi"/>
                <w:sz w:val="20"/>
                <w:szCs w:val="20"/>
              </w:rPr>
              <w:t>umero di operatori interessati e</w:t>
            </w:r>
            <w:r w:rsidRPr="003B2C90">
              <w:rPr>
                <w:rFonts w:asciiTheme="minorHAnsi" w:hAnsiTheme="minorHAnsi" w:cstheme="minorHAnsi"/>
                <w:sz w:val="20"/>
                <w:szCs w:val="20"/>
              </w:rPr>
              <w:t xml:space="preserve"> della riscontrata e</w:t>
            </w:r>
            <w:r w:rsidR="007A1844">
              <w:rPr>
                <w:rFonts w:asciiTheme="minorHAnsi" w:hAnsiTheme="minorHAnsi" w:cstheme="minorHAnsi"/>
                <w:sz w:val="20"/>
                <w:szCs w:val="20"/>
              </w:rPr>
              <w:t>ffettiva assenza di alternative</w:t>
            </w:r>
            <w:r w:rsidRPr="003B2C90">
              <w:rPr>
                <w:rFonts w:asciiTheme="minorHAnsi" w:hAnsiTheme="minorHAnsi" w:cstheme="minorHAnsi"/>
                <w:sz w:val="20"/>
                <w:szCs w:val="20"/>
              </w:rPr>
              <w:t>;</w:t>
            </w:r>
          </w:p>
        </w:tc>
      </w:tr>
      <w:tr w:rsidR="002C6D75" w:rsidRPr="002B4213" w14:paraId="1C7A971A" w14:textId="77777777" w:rsidTr="003C7F28">
        <w:tc>
          <w:tcPr>
            <w:tcW w:w="1577" w:type="dxa"/>
            <w:shd w:val="clear" w:color="auto" w:fill="auto"/>
          </w:tcPr>
          <w:p w14:paraId="6FF8B14B" w14:textId="29868F8B"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bookmarkStart w:id="3" w:name="_Hlk8923844"/>
            <w:r w:rsidRPr="003C7F28">
              <w:rPr>
                <w:rFonts w:asciiTheme="minorHAnsi" w:hAnsiTheme="minorHAnsi" w:cstheme="minorHAnsi"/>
                <w:b/>
                <w:sz w:val="20"/>
                <w:szCs w:val="20"/>
              </w:rPr>
              <w:t>TENUTO CONTO</w:t>
            </w:r>
          </w:p>
        </w:tc>
        <w:tc>
          <w:tcPr>
            <w:tcW w:w="8067" w:type="dxa"/>
            <w:shd w:val="clear" w:color="auto" w:fill="auto"/>
          </w:tcPr>
          <w:p w14:paraId="32B67386" w14:textId="49693CD8" w:rsidR="002C6D75" w:rsidRPr="003C7F28" w:rsidRDefault="002C6D75" w:rsidP="002C6D75">
            <w:pPr>
              <w:spacing w:after="120"/>
              <w:jc w:val="both"/>
              <w:rPr>
                <w:rFonts w:asciiTheme="minorHAnsi" w:hAnsiTheme="minorHAnsi" w:cstheme="minorHAnsi"/>
                <w:sz w:val="20"/>
                <w:szCs w:val="20"/>
              </w:rPr>
            </w:pPr>
            <w:r w:rsidRPr="003C7F28">
              <w:rPr>
                <w:rFonts w:asciiTheme="minorHAnsi" w:hAnsiTheme="minorHAnsi" w:cstheme="minorHAnsi"/>
                <w:sz w:val="20"/>
                <w:szCs w:val="20"/>
              </w:rPr>
              <w:t>della previsione di procedere all’affidamento anche nel caso fosse pervenuta una sola offerta</w:t>
            </w:r>
            <w:r w:rsidR="004A5A1E">
              <w:rPr>
                <w:rFonts w:asciiTheme="minorHAnsi" w:hAnsiTheme="minorHAnsi" w:cstheme="minorHAnsi"/>
                <w:sz w:val="20"/>
                <w:szCs w:val="20"/>
              </w:rPr>
              <w:t>,</w:t>
            </w:r>
            <w:r w:rsidRPr="003C7F28">
              <w:rPr>
                <w:rFonts w:asciiTheme="minorHAnsi" w:hAnsiTheme="minorHAnsi" w:cstheme="minorHAnsi"/>
                <w:sz w:val="20"/>
                <w:szCs w:val="20"/>
              </w:rPr>
              <w:t xml:space="preserve"> purché ritenuta valida e corrispondente alle necessità della scrivente Amministrazione;</w:t>
            </w:r>
          </w:p>
        </w:tc>
      </w:tr>
      <w:bookmarkEnd w:id="3"/>
      <w:tr w:rsidR="002C6D75" w:rsidRPr="002B4213" w14:paraId="361F704E" w14:textId="77777777" w:rsidTr="00A2213A">
        <w:tc>
          <w:tcPr>
            <w:tcW w:w="1577" w:type="dxa"/>
            <w:shd w:val="clear" w:color="auto" w:fill="auto"/>
            <w:hideMark/>
          </w:tcPr>
          <w:p w14:paraId="745C00FD" w14:textId="77777777"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lastRenderedPageBreak/>
              <w:t>TENUTO CONTO</w:t>
            </w:r>
          </w:p>
          <w:p w14:paraId="089EE1F3" w14:textId="77777777"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p>
        </w:tc>
        <w:tc>
          <w:tcPr>
            <w:tcW w:w="8067" w:type="dxa"/>
            <w:shd w:val="clear" w:color="auto" w:fill="auto"/>
            <w:hideMark/>
          </w:tcPr>
          <w:p w14:paraId="524EDA74" w14:textId="4B320BD1" w:rsidR="002C6D75" w:rsidRPr="003C7F28" w:rsidRDefault="002C6D75" w:rsidP="002C6D75">
            <w:pPr>
              <w:spacing w:after="120"/>
              <w:jc w:val="both"/>
              <w:rPr>
                <w:rFonts w:asciiTheme="minorHAnsi" w:hAnsiTheme="minorHAnsi" w:cstheme="minorHAnsi"/>
                <w:sz w:val="20"/>
                <w:szCs w:val="20"/>
              </w:rPr>
            </w:pPr>
            <w:r w:rsidRPr="00AF0071">
              <w:rPr>
                <w:rFonts w:asciiTheme="minorHAnsi" w:hAnsiTheme="minorHAnsi" w:cstheme="minorHAnsi"/>
                <w:sz w:val="20"/>
                <w:szCs w:val="20"/>
              </w:rPr>
              <w:t>che, ai fini della partecipazione alla procedura, l’Amministrazione scolastica ha richiesto</w:t>
            </w:r>
            <w:r w:rsidR="004A5A1E">
              <w:rPr>
                <w:rFonts w:asciiTheme="minorHAnsi" w:hAnsiTheme="minorHAnsi" w:cstheme="minorHAnsi"/>
                <w:sz w:val="20"/>
                <w:szCs w:val="20"/>
              </w:rPr>
              <w:t>,</w:t>
            </w:r>
            <w:r w:rsidRPr="00AF0071">
              <w:rPr>
                <w:rFonts w:asciiTheme="minorHAnsi" w:hAnsiTheme="minorHAnsi" w:cstheme="minorHAnsi"/>
                <w:sz w:val="20"/>
                <w:szCs w:val="20"/>
              </w:rPr>
              <w:t xml:space="preserve"> agli operatori economici interessati, specifici requisiti ai sensi degli Artt. 80 e 83 del D. Lgs. 18 aprile 2016, n. 50, necessari per l’esecuzione delle prestazioni contrattuali;</w:t>
            </w:r>
          </w:p>
        </w:tc>
      </w:tr>
      <w:tr w:rsidR="002C6D75" w:rsidRPr="00A2213A" w14:paraId="068B5CE2" w14:textId="77777777" w:rsidTr="00A2213A">
        <w:trPr>
          <w:cantSplit/>
          <w:trHeight w:val="1040"/>
        </w:trPr>
        <w:tc>
          <w:tcPr>
            <w:tcW w:w="1577" w:type="dxa"/>
            <w:shd w:val="clear" w:color="auto" w:fill="auto"/>
          </w:tcPr>
          <w:p w14:paraId="35504C0F" w14:textId="7919A95C"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9A3C25">
              <w:rPr>
                <w:rFonts w:asciiTheme="minorHAnsi" w:hAnsiTheme="minorHAnsi" w:cstheme="minorHAnsi"/>
                <w:b/>
                <w:sz w:val="20"/>
                <w:szCs w:val="20"/>
              </w:rPr>
              <w:t>PRESO ATTO</w:t>
            </w:r>
          </w:p>
        </w:tc>
        <w:tc>
          <w:tcPr>
            <w:tcW w:w="8067" w:type="dxa"/>
            <w:shd w:val="clear" w:color="auto" w:fill="auto"/>
          </w:tcPr>
          <w:p w14:paraId="39541077" w14:textId="77777777" w:rsidR="002C6D75" w:rsidRPr="00A2213A" w:rsidRDefault="002C6D75" w:rsidP="007A1844">
            <w:pPr>
              <w:widowControl w:val="0"/>
              <w:tabs>
                <w:tab w:val="left" w:pos="2310"/>
              </w:tabs>
              <w:autoSpaceDE w:val="0"/>
              <w:autoSpaceDN w:val="0"/>
              <w:adjustRightInd w:val="0"/>
              <w:spacing w:after="120"/>
              <w:ind w:right="-23"/>
              <w:jc w:val="both"/>
              <w:rPr>
                <w:rFonts w:asciiTheme="minorHAnsi" w:hAnsiTheme="minorHAnsi" w:cstheme="minorHAnsi"/>
                <w:sz w:val="20"/>
                <w:szCs w:val="20"/>
              </w:rPr>
            </w:pPr>
            <w:r w:rsidRPr="00A2213A">
              <w:rPr>
                <w:rFonts w:asciiTheme="minorHAnsi" w:hAnsiTheme="minorHAnsi" w:cstheme="minorHAnsi"/>
                <w:sz w:val="20"/>
                <w:szCs w:val="20"/>
              </w:rPr>
              <w:t xml:space="preserve">che, alla scadenza del termine di presentazione delle offerte, fissato alle </w:t>
            </w:r>
            <w:r w:rsidRPr="00A2213A">
              <w:rPr>
                <w:rFonts w:asciiTheme="minorHAnsi" w:hAnsiTheme="minorHAnsi" w:cstheme="minorHAnsi"/>
                <w:sz w:val="20"/>
                <w:szCs w:val="20"/>
                <w:highlight w:val="cyan"/>
              </w:rPr>
              <w:t>hh:mm</w:t>
            </w:r>
            <w:r w:rsidRPr="00A2213A">
              <w:rPr>
                <w:rFonts w:asciiTheme="minorHAnsi" w:hAnsiTheme="minorHAnsi" w:cstheme="minorHAnsi"/>
                <w:sz w:val="20"/>
                <w:szCs w:val="20"/>
              </w:rPr>
              <w:t xml:space="preserve"> del </w:t>
            </w:r>
            <w:r w:rsidRPr="00A2213A">
              <w:rPr>
                <w:rFonts w:asciiTheme="minorHAnsi" w:hAnsiTheme="minorHAnsi" w:cstheme="minorHAnsi"/>
                <w:sz w:val="20"/>
                <w:szCs w:val="20"/>
                <w:highlight w:val="cyan"/>
              </w:rPr>
              <w:t>gg/mm/aaaa</w:t>
            </w:r>
            <w:r w:rsidRPr="00A2213A">
              <w:rPr>
                <w:rFonts w:asciiTheme="minorHAnsi" w:hAnsiTheme="minorHAnsi" w:cstheme="minorHAnsi"/>
                <w:sz w:val="20"/>
                <w:szCs w:val="20"/>
              </w:rPr>
              <w:t xml:space="preserve"> sono pervenute, con le modalità richieste, n.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offerte e più precisamente:</w:t>
            </w:r>
          </w:p>
          <w:p w14:paraId="690872A2" w14:textId="77777777" w:rsidR="002C6D75" w:rsidRPr="00A2213A" w:rsidRDefault="002C6D75" w:rsidP="007A1844">
            <w:pPr>
              <w:widowControl w:val="0"/>
              <w:numPr>
                <w:ilvl w:val="0"/>
                <w:numId w:val="19"/>
              </w:numPr>
              <w:tabs>
                <w:tab w:val="left" w:pos="2310"/>
              </w:tabs>
              <w:autoSpaceDE w:val="0"/>
              <w:autoSpaceDN w:val="0"/>
              <w:adjustRightInd w:val="0"/>
              <w:spacing w:after="120"/>
              <w:ind w:left="300" w:right="-23" w:hanging="284"/>
              <w:jc w:val="both"/>
              <w:rPr>
                <w:rFonts w:asciiTheme="minorHAnsi" w:hAnsiTheme="minorHAnsi" w:cstheme="minorHAnsi"/>
                <w:sz w:val="20"/>
                <w:szCs w:val="20"/>
              </w:rPr>
            </w:pPr>
            <w:r w:rsidRPr="00A2213A">
              <w:rPr>
                <w:rFonts w:asciiTheme="minorHAnsi" w:hAnsiTheme="minorHAnsi" w:cstheme="minorHAnsi"/>
                <w:sz w:val="20"/>
                <w:szCs w:val="20"/>
              </w:rPr>
              <w:t xml:space="preserve">Società Assicuratrice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 Agenzia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indirizzo </w:t>
            </w:r>
            <w:r w:rsidRPr="00A2213A">
              <w:rPr>
                <w:rFonts w:asciiTheme="minorHAnsi" w:hAnsiTheme="minorHAnsi" w:cstheme="minorHAnsi"/>
                <w:sz w:val="20"/>
                <w:szCs w:val="20"/>
                <w:highlight w:val="cyan"/>
              </w:rPr>
              <w:t>[…]</w:t>
            </w:r>
          </w:p>
          <w:p w14:paraId="042293B0" w14:textId="77777777" w:rsidR="002C6D75" w:rsidRPr="00A2213A" w:rsidRDefault="002C6D75" w:rsidP="007A1844">
            <w:pPr>
              <w:widowControl w:val="0"/>
              <w:numPr>
                <w:ilvl w:val="0"/>
                <w:numId w:val="19"/>
              </w:numPr>
              <w:tabs>
                <w:tab w:val="left" w:pos="2310"/>
              </w:tabs>
              <w:autoSpaceDE w:val="0"/>
              <w:autoSpaceDN w:val="0"/>
              <w:adjustRightInd w:val="0"/>
              <w:spacing w:after="120"/>
              <w:ind w:left="300" w:right="-23" w:hanging="284"/>
              <w:jc w:val="both"/>
              <w:rPr>
                <w:rFonts w:asciiTheme="minorHAnsi" w:hAnsiTheme="minorHAnsi" w:cstheme="minorHAnsi"/>
                <w:sz w:val="20"/>
                <w:szCs w:val="20"/>
              </w:rPr>
            </w:pPr>
            <w:r w:rsidRPr="00A2213A">
              <w:rPr>
                <w:rFonts w:asciiTheme="minorHAnsi" w:hAnsiTheme="minorHAnsi" w:cstheme="minorHAnsi"/>
                <w:sz w:val="20"/>
                <w:szCs w:val="20"/>
              </w:rPr>
              <w:t xml:space="preserve">Società Assicuratrice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 Agenzia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indirizzo </w:t>
            </w:r>
            <w:r w:rsidRPr="00A2213A">
              <w:rPr>
                <w:rFonts w:asciiTheme="minorHAnsi" w:hAnsiTheme="minorHAnsi" w:cstheme="minorHAnsi"/>
                <w:sz w:val="20"/>
                <w:szCs w:val="20"/>
                <w:highlight w:val="cyan"/>
              </w:rPr>
              <w:t>[…]</w:t>
            </w:r>
          </w:p>
          <w:p w14:paraId="4859B47B" w14:textId="77777777" w:rsidR="002C6D75" w:rsidRPr="00A2213A" w:rsidRDefault="002C6D75" w:rsidP="007A1844">
            <w:pPr>
              <w:widowControl w:val="0"/>
              <w:numPr>
                <w:ilvl w:val="0"/>
                <w:numId w:val="19"/>
              </w:numPr>
              <w:tabs>
                <w:tab w:val="left" w:pos="2310"/>
              </w:tabs>
              <w:autoSpaceDE w:val="0"/>
              <w:autoSpaceDN w:val="0"/>
              <w:adjustRightInd w:val="0"/>
              <w:spacing w:after="120"/>
              <w:ind w:left="300" w:right="-23" w:hanging="284"/>
              <w:jc w:val="both"/>
              <w:rPr>
                <w:rFonts w:asciiTheme="minorHAnsi" w:hAnsiTheme="minorHAnsi" w:cstheme="minorHAnsi"/>
                <w:b/>
                <w:sz w:val="20"/>
                <w:szCs w:val="20"/>
              </w:rPr>
            </w:pPr>
            <w:r w:rsidRPr="00A2213A">
              <w:rPr>
                <w:rFonts w:asciiTheme="minorHAnsi" w:hAnsiTheme="minorHAnsi" w:cstheme="minorHAnsi"/>
                <w:sz w:val="20"/>
                <w:szCs w:val="20"/>
              </w:rPr>
              <w:t xml:space="preserve">Società Assicuratrice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 Agenzia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indirizzo </w:t>
            </w:r>
            <w:r w:rsidRPr="00A2213A">
              <w:rPr>
                <w:rFonts w:asciiTheme="minorHAnsi" w:hAnsiTheme="minorHAnsi" w:cstheme="minorHAnsi"/>
                <w:sz w:val="20"/>
                <w:szCs w:val="20"/>
                <w:highlight w:val="cyan"/>
              </w:rPr>
              <w:t>[…]</w:t>
            </w:r>
          </w:p>
          <w:p w14:paraId="6482BCA1" w14:textId="346DB3A4" w:rsidR="002C6D75" w:rsidRPr="00A2213A" w:rsidRDefault="002C6D75" w:rsidP="007A1844">
            <w:pPr>
              <w:widowControl w:val="0"/>
              <w:numPr>
                <w:ilvl w:val="0"/>
                <w:numId w:val="19"/>
              </w:numPr>
              <w:tabs>
                <w:tab w:val="left" w:pos="2310"/>
              </w:tabs>
              <w:autoSpaceDE w:val="0"/>
              <w:autoSpaceDN w:val="0"/>
              <w:adjustRightInd w:val="0"/>
              <w:spacing w:after="120"/>
              <w:ind w:left="300" w:right="-23" w:hanging="284"/>
              <w:jc w:val="both"/>
              <w:rPr>
                <w:rFonts w:asciiTheme="minorHAnsi" w:hAnsiTheme="minorHAnsi" w:cstheme="minorHAnsi"/>
                <w:b/>
                <w:sz w:val="20"/>
                <w:szCs w:val="20"/>
              </w:rPr>
            </w:pPr>
            <w:r w:rsidRPr="00A2213A">
              <w:rPr>
                <w:rFonts w:asciiTheme="minorHAnsi" w:hAnsiTheme="minorHAnsi" w:cstheme="minorHAnsi"/>
                <w:sz w:val="20"/>
                <w:szCs w:val="20"/>
              </w:rPr>
              <w:t xml:space="preserve">Società Assicuratrice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 Agenzia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indirizzo </w:t>
            </w:r>
            <w:r w:rsidRPr="00A2213A">
              <w:rPr>
                <w:rFonts w:asciiTheme="minorHAnsi" w:hAnsiTheme="minorHAnsi" w:cstheme="minorHAnsi"/>
                <w:sz w:val="20"/>
                <w:szCs w:val="20"/>
                <w:highlight w:val="cyan"/>
              </w:rPr>
              <w:t>[…]</w:t>
            </w:r>
          </w:p>
        </w:tc>
      </w:tr>
      <w:tr w:rsidR="002C6D75" w:rsidRPr="002B4213" w14:paraId="07972A0F" w14:textId="77777777" w:rsidTr="00A2213A">
        <w:tc>
          <w:tcPr>
            <w:tcW w:w="1577" w:type="dxa"/>
            <w:shd w:val="clear" w:color="auto" w:fill="auto"/>
          </w:tcPr>
          <w:p w14:paraId="5880088F" w14:textId="3D34CDC1"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9A3C25">
              <w:rPr>
                <w:rFonts w:asciiTheme="minorHAnsi" w:hAnsiTheme="minorHAnsi" w:cstheme="minorHAnsi"/>
                <w:b/>
                <w:sz w:val="20"/>
                <w:szCs w:val="20"/>
              </w:rPr>
              <w:t>RITENUTO</w:t>
            </w:r>
          </w:p>
        </w:tc>
        <w:tc>
          <w:tcPr>
            <w:tcW w:w="8067" w:type="dxa"/>
            <w:shd w:val="clear" w:color="auto" w:fill="auto"/>
          </w:tcPr>
          <w:p w14:paraId="556B3705" w14:textId="211ED34A" w:rsidR="002C6D75" w:rsidRPr="00A2213A" w:rsidRDefault="002C6D75" w:rsidP="007A1844">
            <w:pPr>
              <w:widowControl w:val="0"/>
              <w:tabs>
                <w:tab w:val="left" w:pos="2310"/>
              </w:tabs>
              <w:autoSpaceDE w:val="0"/>
              <w:autoSpaceDN w:val="0"/>
              <w:adjustRightInd w:val="0"/>
              <w:spacing w:after="120"/>
              <w:ind w:right="-23"/>
              <w:jc w:val="both"/>
              <w:rPr>
                <w:rFonts w:asciiTheme="minorHAnsi" w:hAnsiTheme="minorHAnsi" w:cstheme="minorHAnsi"/>
                <w:sz w:val="20"/>
                <w:szCs w:val="20"/>
              </w:rPr>
            </w:pPr>
            <w:r w:rsidRPr="00A2213A">
              <w:rPr>
                <w:rFonts w:asciiTheme="minorHAnsi" w:hAnsiTheme="minorHAnsi" w:cstheme="minorHAnsi"/>
                <w:sz w:val="20"/>
                <w:szCs w:val="20"/>
              </w:rPr>
              <w:t xml:space="preserve">che il migliore preventivo offerto risulta quello della Società Assicuratrice </w:t>
            </w:r>
            <w:r w:rsidRPr="00A2213A">
              <w:rPr>
                <w:rFonts w:asciiTheme="minorHAnsi" w:hAnsiTheme="minorHAnsi" w:cstheme="minorHAnsi"/>
                <w:sz w:val="20"/>
                <w:szCs w:val="20"/>
                <w:highlight w:val="cyan"/>
              </w:rPr>
              <w:t>[…]</w:t>
            </w:r>
            <w:r w:rsidRPr="00A2213A">
              <w:rPr>
                <w:rFonts w:asciiTheme="minorHAnsi" w:hAnsiTheme="minorHAnsi" w:cstheme="minorHAnsi"/>
                <w:sz w:val="20"/>
                <w:szCs w:val="20"/>
              </w:rPr>
              <w:t xml:space="preserve"> – Agenzia </w:t>
            </w:r>
            <w:r w:rsidRPr="00A2213A">
              <w:rPr>
                <w:rFonts w:asciiTheme="minorHAnsi" w:hAnsiTheme="minorHAnsi" w:cstheme="minorHAnsi"/>
                <w:sz w:val="20"/>
                <w:szCs w:val="20"/>
                <w:highlight w:val="cyan"/>
              </w:rPr>
              <w:t>[…]</w:t>
            </w:r>
            <w:r w:rsidR="007A1844">
              <w:rPr>
                <w:rFonts w:asciiTheme="minorHAnsi" w:hAnsiTheme="minorHAnsi" w:cstheme="minorHAnsi"/>
                <w:sz w:val="20"/>
                <w:szCs w:val="20"/>
              </w:rPr>
              <w:t>, e nello specifico</w:t>
            </w:r>
            <w:r w:rsidRPr="00A2213A">
              <w:rPr>
                <w:rFonts w:asciiTheme="minorHAnsi" w:hAnsiTheme="minorHAnsi" w:cstheme="minorHAnsi"/>
                <w:sz w:val="20"/>
                <w:szCs w:val="20"/>
              </w:rPr>
              <w:t xml:space="preserve">: </w:t>
            </w:r>
            <w:r w:rsidRPr="00A2213A">
              <w:rPr>
                <w:rFonts w:asciiTheme="minorHAnsi" w:hAnsiTheme="minorHAnsi" w:cstheme="minorHAnsi"/>
                <w:sz w:val="20"/>
                <w:szCs w:val="20"/>
                <w:highlight w:val="cyan"/>
              </w:rPr>
              <w:t>[</w:t>
            </w:r>
            <w:r w:rsidRPr="00A2213A">
              <w:rPr>
                <w:rFonts w:asciiTheme="minorHAnsi" w:hAnsiTheme="minorHAnsi" w:cstheme="minorHAnsi"/>
                <w:i/>
                <w:sz w:val="20"/>
                <w:szCs w:val="20"/>
                <w:highlight w:val="cyan"/>
              </w:rPr>
              <w:t>verificare</w:t>
            </w:r>
            <w:r w:rsidR="007A1844">
              <w:rPr>
                <w:rFonts w:asciiTheme="minorHAnsi" w:hAnsiTheme="minorHAnsi" w:cstheme="minorHAnsi"/>
                <w:i/>
                <w:sz w:val="20"/>
                <w:szCs w:val="20"/>
                <w:highlight w:val="cyan"/>
              </w:rPr>
              <w:t xml:space="preserve"> i singoli aspetti sotto riportati</w:t>
            </w:r>
            <w:r w:rsidRPr="00A2213A">
              <w:rPr>
                <w:rFonts w:asciiTheme="minorHAnsi" w:hAnsiTheme="minorHAnsi" w:cstheme="minorHAnsi"/>
                <w:sz w:val="20"/>
                <w:szCs w:val="20"/>
                <w:highlight w:val="cyan"/>
              </w:rPr>
              <w:t>]</w:t>
            </w:r>
          </w:p>
          <w:p w14:paraId="387E4135" w14:textId="498B3496" w:rsidR="002C6D75" w:rsidRDefault="002C6D75" w:rsidP="007A1844">
            <w:pPr>
              <w:widowControl w:val="0"/>
              <w:numPr>
                <w:ilvl w:val="0"/>
                <w:numId w:val="20"/>
              </w:numPr>
              <w:tabs>
                <w:tab w:val="left" w:pos="2310"/>
              </w:tabs>
              <w:autoSpaceDE w:val="0"/>
              <w:autoSpaceDN w:val="0"/>
              <w:adjustRightInd w:val="0"/>
              <w:ind w:left="159" w:right="-23" w:hanging="142"/>
              <w:jc w:val="both"/>
              <w:rPr>
                <w:rFonts w:asciiTheme="minorHAnsi" w:hAnsiTheme="minorHAnsi" w:cstheme="minorHAnsi"/>
                <w:sz w:val="20"/>
                <w:szCs w:val="20"/>
              </w:rPr>
            </w:pPr>
            <w:r w:rsidRPr="00A2213A">
              <w:rPr>
                <w:rFonts w:asciiTheme="minorHAnsi" w:hAnsiTheme="minorHAnsi" w:cstheme="minorHAnsi"/>
                <w:sz w:val="20"/>
                <w:szCs w:val="20"/>
              </w:rPr>
              <w:t xml:space="preserve">Il Capitolato contrattuale proposto dall’Operatore Economico </w:t>
            </w:r>
            <w:r w:rsidR="009E6A16">
              <w:rPr>
                <w:rFonts w:asciiTheme="minorHAnsi" w:hAnsiTheme="minorHAnsi" w:cstheme="minorHAnsi"/>
                <w:sz w:val="20"/>
                <w:szCs w:val="20"/>
              </w:rPr>
              <w:t>è aderente</w:t>
            </w:r>
            <w:r w:rsidRPr="00A2213A">
              <w:rPr>
                <w:rFonts w:asciiTheme="minorHAnsi" w:hAnsiTheme="minorHAnsi" w:cstheme="minorHAnsi"/>
                <w:sz w:val="20"/>
                <w:szCs w:val="20"/>
              </w:rPr>
              <w:t xml:space="preserve"> </w:t>
            </w:r>
            <w:r w:rsidR="008B55D6">
              <w:rPr>
                <w:rFonts w:asciiTheme="minorHAnsi" w:hAnsiTheme="minorHAnsi" w:cstheme="minorHAnsi"/>
                <w:sz w:val="20"/>
                <w:szCs w:val="20"/>
              </w:rPr>
              <w:t>a</w:t>
            </w:r>
            <w:r w:rsidRPr="00A2213A">
              <w:rPr>
                <w:rFonts w:asciiTheme="minorHAnsi" w:hAnsiTheme="minorHAnsi" w:cstheme="minorHAnsi"/>
                <w:sz w:val="20"/>
                <w:szCs w:val="20"/>
              </w:rPr>
              <w:t xml:space="preserve">l </w:t>
            </w:r>
            <w:r w:rsidR="008B55D6">
              <w:rPr>
                <w:rFonts w:asciiTheme="minorHAnsi" w:hAnsiTheme="minorHAnsi" w:cstheme="minorHAnsi"/>
                <w:sz w:val="20"/>
                <w:szCs w:val="20"/>
              </w:rPr>
              <w:t>C</w:t>
            </w:r>
            <w:r w:rsidRPr="00A2213A">
              <w:rPr>
                <w:rFonts w:asciiTheme="minorHAnsi" w:hAnsiTheme="minorHAnsi" w:cstheme="minorHAnsi"/>
                <w:sz w:val="20"/>
                <w:szCs w:val="20"/>
              </w:rPr>
              <w:t>apitolato Speciale proposto dall’Amministrazione appaltante;</w:t>
            </w:r>
          </w:p>
          <w:p w14:paraId="56B33FAD" w14:textId="5CCC4870" w:rsidR="007A1844" w:rsidRPr="00A2213A" w:rsidRDefault="007A1844" w:rsidP="007A1844">
            <w:pPr>
              <w:widowControl w:val="0"/>
              <w:numPr>
                <w:ilvl w:val="0"/>
                <w:numId w:val="20"/>
              </w:numPr>
              <w:tabs>
                <w:tab w:val="left" w:pos="2310"/>
              </w:tabs>
              <w:autoSpaceDE w:val="0"/>
              <w:autoSpaceDN w:val="0"/>
              <w:adjustRightInd w:val="0"/>
              <w:ind w:left="159" w:right="-23" w:hanging="142"/>
              <w:jc w:val="both"/>
              <w:rPr>
                <w:rFonts w:asciiTheme="minorHAnsi" w:hAnsiTheme="minorHAnsi" w:cstheme="minorHAnsi"/>
                <w:sz w:val="20"/>
                <w:szCs w:val="20"/>
              </w:rPr>
            </w:pPr>
            <w:r w:rsidRPr="007A1844">
              <w:rPr>
                <w:rFonts w:asciiTheme="minorHAnsi" w:hAnsiTheme="minorHAnsi" w:cstheme="minorHAnsi"/>
                <w:sz w:val="20"/>
                <w:szCs w:val="20"/>
                <w:highlight w:val="cyan"/>
              </w:rPr>
              <w:t>[</w:t>
            </w:r>
            <w:r w:rsidRPr="007A1844">
              <w:rPr>
                <w:rFonts w:asciiTheme="minorHAnsi" w:hAnsiTheme="minorHAnsi" w:cstheme="minorHAnsi"/>
                <w:i/>
                <w:sz w:val="20"/>
                <w:szCs w:val="20"/>
                <w:highlight w:val="cyan"/>
              </w:rPr>
              <w:t>oppure</w:t>
            </w:r>
            <w:r w:rsidRPr="007A1844">
              <w:rPr>
                <w:rFonts w:asciiTheme="minorHAnsi" w:hAnsiTheme="minorHAnsi" w:cstheme="minorHAnsi"/>
                <w:sz w:val="20"/>
                <w:szCs w:val="20"/>
                <w:highlight w:val="cyan"/>
              </w:rPr>
              <w:t>]</w:t>
            </w:r>
            <w:r>
              <w:rPr>
                <w:rFonts w:asciiTheme="minorHAnsi" w:hAnsiTheme="minorHAnsi" w:cstheme="minorHAnsi"/>
                <w:sz w:val="20"/>
                <w:szCs w:val="20"/>
              </w:rPr>
              <w:t xml:space="preserve"> Il Capitolato </w:t>
            </w:r>
            <w:r w:rsidR="00D8707D">
              <w:rPr>
                <w:rFonts w:asciiTheme="minorHAnsi" w:hAnsiTheme="minorHAnsi" w:cstheme="minorHAnsi"/>
                <w:sz w:val="20"/>
                <w:szCs w:val="20"/>
              </w:rPr>
              <w:t>S</w:t>
            </w:r>
            <w:r>
              <w:rPr>
                <w:rFonts w:asciiTheme="minorHAnsi" w:hAnsiTheme="minorHAnsi" w:cstheme="minorHAnsi"/>
                <w:sz w:val="20"/>
                <w:szCs w:val="20"/>
              </w:rPr>
              <w:t>peciale proposto dall’Amministrazione appaltante è stato integralmente accettato;</w:t>
            </w:r>
          </w:p>
          <w:p w14:paraId="5E986E76" w14:textId="77777777" w:rsidR="002C6D75" w:rsidRPr="00A2213A" w:rsidRDefault="002C6D75" w:rsidP="007A1844">
            <w:pPr>
              <w:widowControl w:val="0"/>
              <w:numPr>
                <w:ilvl w:val="0"/>
                <w:numId w:val="20"/>
              </w:numPr>
              <w:tabs>
                <w:tab w:val="left" w:pos="2310"/>
              </w:tabs>
              <w:autoSpaceDE w:val="0"/>
              <w:autoSpaceDN w:val="0"/>
              <w:adjustRightInd w:val="0"/>
              <w:ind w:left="159" w:right="-23" w:hanging="142"/>
              <w:jc w:val="both"/>
              <w:rPr>
                <w:rFonts w:asciiTheme="minorHAnsi" w:hAnsiTheme="minorHAnsi" w:cstheme="minorHAnsi"/>
                <w:sz w:val="20"/>
                <w:szCs w:val="20"/>
              </w:rPr>
            </w:pPr>
            <w:r w:rsidRPr="00A2213A">
              <w:rPr>
                <w:rFonts w:asciiTheme="minorHAnsi" w:hAnsiTheme="minorHAnsi" w:cstheme="minorHAnsi"/>
                <w:sz w:val="20"/>
                <w:szCs w:val="20"/>
              </w:rPr>
              <w:t xml:space="preserve">I massimali proposti risultano essere in linea con quelli </w:t>
            </w:r>
            <w:r w:rsidRPr="00A2213A">
              <w:rPr>
                <w:rFonts w:asciiTheme="minorHAnsi" w:hAnsiTheme="minorHAnsi" w:cstheme="minorHAnsi"/>
                <w:sz w:val="20"/>
                <w:szCs w:val="20"/>
                <w:highlight w:val="cyan"/>
              </w:rPr>
              <w:t>(migliorativi rispetto a quelli)</w:t>
            </w:r>
            <w:r w:rsidRPr="00A2213A">
              <w:rPr>
                <w:rFonts w:asciiTheme="minorHAnsi" w:hAnsiTheme="minorHAnsi" w:cstheme="minorHAnsi"/>
                <w:sz w:val="20"/>
                <w:szCs w:val="20"/>
              </w:rPr>
              <w:t xml:space="preserve"> richiesti dall’Amministrazione appaltante;</w:t>
            </w:r>
          </w:p>
          <w:p w14:paraId="18D28767" w14:textId="77777777" w:rsidR="002C6D75" w:rsidRPr="00A2213A" w:rsidRDefault="002C6D75" w:rsidP="007A1844">
            <w:pPr>
              <w:widowControl w:val="0"/>
              <w:numPr>
                <w:ilvl w:val="0"/>
                <w:numId w:val="20"/>
              </w:numPr>
              <w:tabs>
                <w:tab w:val="left" w:pos="2310"/>
              </w:tabs>
              <w:autoSpaceDE w:val="0"/>
              <w:autoSpaceDN w:val="0"/>
              <w:adjustRightInd w:val="0"/>
              <w:ind w:left="159" w:right="-23" w:hanging="142"/>
              <w:jc w:val="both"/>
              <w:rPr>
                <w:rFonts w:asciiTheme="minorHAnsi" w:hAnsiTheme="minorHAnsi" w:cstheme="minorHAnsi"/>
                <w:sz w:val="20"/>
                <w:szCs w:val="20"/>
              </w:rPr>
            </w:pPr>
            <w:r w:rsidRPr="00A2213A">
              <w:rPr>
                <w:rFonts w:asciiTheme="minorHAnsi" w:hAnsiTheme="minorHAnsi" w:cstheme="minorHAnsi"/>
                <w:sz w:val="20"/>
                <w:szCs w:val="20"/>
              </w:rPr>
              <w:t>La valutazione delle esclusioni risulta in linea con le offerte di mercato disponibili;</w:t>
            </w:r>
          </w:p>
          <w:p w14:paraId="5FA1286C" w14:textId="5049CF8D" w:rsidR="002C6D75" w:rsidRPr="00A2213A" w:rsidRDefault="002C6D75" w:rsidP="007A1844">
            <w:pPr>
              <w:widowControl w:val="0"/>
              <w:numPr>
                <w:ilvl w:val="0"/>
                <w:numId w:val="20"/>
              </w:numPr>
              <w:tabs>
                <w:tab w:val="left" w:pos="2310"/>
              </w:tabs>
              <w:autoSpaceDE w:val="0"/>
              <w:autoSpaceDN w:val="0"/>
              <w:adjustRightInd w:val="0"/>
              <w:ind w:left="159" w:right="-23" w:hanging="142"/>
              <w:jc w:val="both"/>
              <w:rPr>
                <w:rFonts w:asciiTheme="minorHAnsi" w:hAnsiTheme="minorHAnsi" w:cstheme="minorHAnsi"/>
                <w:sz w:val="20"/>
                <w:szCs w:val="20"/>
              </w:rPr>
            </w:pPr>
            <w:r w:rsidRPr="00A2213A">
              <w:rPr>
                <w:rFonts w:asciiTheme="minorHAnsi" w:hAnsiTheme="minorHAnsi" w:cstheme="minorHAnsi"/>
                <w:sz w:val="20"/>
                <w:szCs w:val="20"/>
              </w:rPr>
              <w:t>La tabella di Invalidità Permanente riportata è stimata aderente alle</w:t>
            </w:r>
            <w:r w:rsidR="007A1844">
              <w:rPr>
                <w:rFonts w:asciiTheme="minorHAnsi" w:hAnsiTheme="minorHAnsi" w:cstheme="minorHAnsi"/>
                <w:sz w:val="20"/>
                <w:szCs w:val="20"/>
              </w:rPr>
              <w:t xml:space="preserve"> specifiche</w:t>
            </w:r>
            <w:r w:rsidRPr="00A2213A">
              <w:rPr>
                <w:rFonts w:asciiTheme="minorHAnsi" w:hAnsiTheme="minorHAnsi" w:cstheme="minorHAnsi"/>
                <w:sz w:val="20"/>
                <w:szCs w:val="20"/>
              </w:rPr>
              <w:t xml:space="preserve"> necessità dell’Amministrazione scolastica;</w:t>
            </w:r>
          </w:p>
          <w:p w14:paraId="42D52FCA" w14:textId="2342F280" w:rsidR="002C6D75" w:rsidRPr="003C7F28" w:rsidRDefault="002C6D75" w:rsidP="007A1844">
            <w:pPr>
              <w:widowControl w:val="0"/>
              <w:numPr>
                <w:ilvl w:val="0"/>
                <w:numId w:val="20"/>
              </w:numPr>
              <w:tabs>
                <w:tab w:val="left" w:pos="2310"/>
              </w:tabs>
              <w:autoSpaceDE w:val="0"/>
              <w:autoSpaceDN w:val="0"/>
              <w:adjustRightInd w:val="0"/>
              <w:spacing w:after="120"/>
              <w:ind w:left="158" w:right="-23" w:hanging="142"/>
              <w:jc w:val="both"/>
              <w:rPr>
                <w:rFonts w:asciiTheme="minorHAnsi" w:hAnsiTheme="minorHAnsi" w:cstheme="minorHAnsi"/>
                <w:sz w:val="20"/>
                <w:szCs w:val="20"/>
              </w:rPr>
            </w:pPr>
            <w:r w:rsidRPr="00A2213A">
              <w:rPr>
                <w:rFonts w:asciiTheme="minorHAnsi" w:hAnsiTheme="minorHAnsi" w:cstheme="minorHAnsi"/>
                <w:sz w:val="20"/>
                <w:szCs w:val="20"/>
              </w:rPr>
              <w:t xml:space="preserve">Il premio offerto risulta essere congruo </w:t>
            </w:r>
            <w:r w:rsidRPr="00A2213A">
              <w:rPr>
                <w:rFonts w:asciiTheme="minorHAnsi" w:hAnsiTheme="minorHAnsi" w:cstheme="minorHAnsi"/>
                <w:sz w:val="20"/>
                <w:szCs w:val="20"/>
                <w:highlight w:val="cyan"/>
              </w:rPr>
              <w:t>(migliorativo)</w:t>
            </w:r>
            <w:r w:rsidRPr="00A2213A">
              <w:rPr>
                <w:rFonts w:asciiTheme="minorHAnsi" w:hAnsiTheme="minorHAnsi" w:cstheme="minorHAnsi"/>
                <w:sz w:val="20"/>
                <w:szCs w:val="20"/>
              </w:rPr>
              <w:t xml:space="preserve"> rispetto a quello offerto/proposto dall’Amministrazione scolastica;</w:t>
            </w:r>
          </w:p>
        </w:tc>
      </w:tr>
      <w:tr w:rsidR="002C6D75" w:rsidRPr="00A2213A" w14:paraId="44DA989D" w14:textId="77777777" w:rsidTr="00A2213A">
        <w:trPr>
          <w:trHeight w:val="690"/>
        </w:trPr>
        <w:tc>
          <w:tcPr>
            <w:tcW w:w="1577" w:type="dxa"/>
          </w:tcPr>
          <w:p w14:paraId="4D35347A" w14:textId="2F767FA7"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9A3C25">
              <w:rPr>
                <w:rFonts w:asciiTheme="minorHAnsi" w:hAnsiTheme="minorHAnsi" w:cstheme="minorHAnsi"/>
                <w:b/>
                <w:sz w:val="20"/>
                <w:szCs w:val="20"/>
              </w:rPr>
              <w:t>TENUTO CONTO</w:t>
            </w:r>
          </w:p>
        </w:tc>
        <w:tc>
          <w:tcPr>
            <w:tcW w:w="8067" w:type="dxa"/>
            <w:vAlign w:val="center"/>
          </w:tcPr>
          <w:p w14:paraId="2C75710A" w14:textId="77777777" w:rsidR="002C6D75" w:rsidRPr="00BE3924"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sz w:val="20"/>
                <w:szCs w:val="20"/>
              </w:rPr>
            </w:pPr>
            <w:r w:rsidRPr="00BE3924">
              <w:rPr>
                <w:rFonts w:asciiTheme="minorHAnsi" w:hAnsiTheme="minorHAnsi" w:cstheme="minorHAnsi"/>
                <w:sz w:val="20"/>
                <w:szCs w:val="20"/>
              </w:rPr>
              <w:t>che la Stazione Appaltante, ai sensi di quanto previsto dalle Linee Guida ANAC n. 4:</w:t>
            </w:r>
          </w:p>
          <w:p w14:paraId="307E6221" w14:textId="77777777" w:rsidR="002C6D75" w:rsidRPr="00BE3924" w:rsidRDefault="002C6D75" w:rsidP="002C6D75">
            <w:pPr>
              <w:widowControl w:val="0"/>
              <w:numPr>
                <w:ilvl w:val="3"/>
                <w:numId w:val="17"/>
              </w:numPr>
              <w:tabs>
                <w:tab w:val="left" w:pos="2310"/>
              </w:tabs>
              <w:autoSpaceDE w:val="0"/>
              <w:autoSpaceDN w:val="0"/>
              <w:adjustRightInd w:val="0"/>
              <w:spacing w:after="120"/>
              <w:ind w:left="306" w:right="-23" w:hanging="284"/>
              <w:contextualSpacing/>
              <w:jc w:val="both"/>
              <w:rPr>
                <w:rFonts w:asciiTheme="minorHAnsi" w:hAnsiTheme="minorHAnsi" w:cstheme="minorHAnsi"/>
                <w:sz w:val="20"/>
                <w:szCs w:val="20"/>
              </w:rPr>
            </w:pPr>
            <w:r w:rsidRPr="00BE3924">
              <w:rPr>
                <w:rFonts w:asciiTheme="minorHAnsi" w:hAnsiTheme="minorHAnsi" w:cstheme="minorHAnsi"/>
                <w:sz w:val="20"/>
                <w:szCs w:val="20"/>
              </w:rPr>
              <w:t xml:space="preserve">Espleterà le verifiche in merito al possesso dei requisiti di carattere speciale in capo all’aggiudicatario e in merito alle condizioni soggettive che la legge stabilisce per l’esercizio di particolari professioni o dell’idoneità a contrarre con la P.A. in relazione a specifiche attività; </w:t>
            </w:r>
          </w:p>
          <w:p w14:paraId="75F2BAF3" w14:textId="77777777" w:rsidR="002C6D75" w:rsidRPr="00BE3924" w:rsidRDefault="002C6D75" w:rsidP="002C6D75">
            <w:pPr>
              <w:numPr>
                <w:ilvl w:val="0"/>
                <w:numId w:val="17"/>
              </w:numPr>
              <w:tabs>
                <w:tab w:val="left" w:pos="2310"/>
              </w:tabs>
              <w:ind w:left="317" w:right="-23" w:hanging="306"/>
              <w:jc w:val="both"/>
              <w:rPr>
                <w:rFonts w:asciiTheme="minorHAnsi" w:hAnsiTheme="minorHAnsi" w:cstheme="minorHAnsi"/>
                <w:b/>
                <w:sz w:val="20"/>
                <w:szCs w:val="20"/>
              </w:rPr>
            </w:pPr>
            <w:r w:rsidRPr="00BE3924">
              <w:rPr>
                <w:rFonts w:asciiTheme="minorHAnsi" w:hAnsiTheme="minorHAnsi" w:cstheme="minorHAnsi"/>
                <w:sz w:val="20"/>
                <w:szCs w:val="20"/>
              </w:rPr>
              <w:t>Procederà, per i restanti requisiti di moralità,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 Lgs. D. Lgs. 19 aprile 2016 n. 50;</w:t>
            </w:r>
          </w:p>
          <w:p w14:paraId="0D2AFA8D" w14:textId="36010D45" w:rsidR="002C6D75" w:rsidRPr="00A2213A" w:rsidRDefault="00C929D1" w:rsidP="002C6D75">
            <w:pPr>
              <w:numPr>
                <w:ilvl w:val="0"/>
                <w:numId w:val="17"/>
              </w:numPr>
              <w:tabs>
                <w:tab w:val="left" w:pos="2310"/>
              </w:tabs>
              <w:spacing w:after="120"/>
              <w:ind w:left="317" w:right="-23" w:hanging="306"/>
              <w:jc w:val="both"/>
              <w:rPr>
                <w:rFonts w:asciiTheme="minorHAnsi" w:hAnsiTheme="minorHAnsi" w:cstheme="minorHAnsi"/>
                <w:b/>
                <w:sz w:val="20"/>
                <w:szCs w:val="20"/>
              </w:rPr>
            </w:pPr>
            <w:r>
              <w:rPr>
                <w:rFonts w:asciiTheme="minorHAnsi" w:hAnsiTheme="minorHAnsi" w:cstheme="minorHAnsi"/>
                <w:sz w:val="20"/>
                <w:szCs w:val="20"/>
              </w:rPr>
              <w:t xml:space="preserve">Resta intesa la risoluzione del contratto </w:t>
            </w:r>
            <w:r w:rsidRPr="00BE3924">
              <w:rPr>
                <w:rFonts w:asciiTheme="minorHAnsi" w:hAnsiTheme="minorHAnsi" w:cstheme="minorHAnsi"/>
                <w:sz w:val="20"/>
                <w:szCs w:val="20"/>
              </w:rPr>
              <w:t>in caso di successivo accertamento del difetto del possesso dei requisiti prescritti</w:t>
            </w:r>
            <w:r>
              <w:rPr>
                <w:rFonts w:asciiTheme="minorHAnsi" w:hAnsiTheme="minorHAnsi" w:cstheme="minorHAnsi"/>
                <w:sz w:val="20"/>
                <w:szCs w:val="20"/>
              </w:rPr>
              <w:t>,</w:t>
            </w:r>
            <w:r w:rsidRPr="00BE3924">
              <w:rPr>
                <w:rFonts w:asciiTheme="minorHAnsi" w:hAnsiTheme="minorHAnsi" w:cstheme="minorHAnsi"/>
                <w:sz w:val="20"/>
                <w:szCs w:val="20"/>
              </w:rPr>
              <w:t xml:space="preserve"> </w:t>
            </w:r>
            <w:r>
              <w:rPr>
                <w:rFonts w:asciiTheme="minorHAnsi" w:hAnsiTheme="minorHAnsi" w:cstheme="minorHAnsi"/>
                <w:sz w:val="20"/>
                <w:szCs w:val="20"/>
              </w:rPr>
              <w:t xml:space="preserve">e nel caso, </w:t>
            </w:r>
            <w:r w:rsidRPr="00BE3924">
              <w:rPr>
                <w:rFonts w:asciiTheme="minorHAnsi" w:hAnsiTheme="minorHAnsi" w:cstheme="minorHAnsi"/>
                <w:sz w:val="20"/>
                <w:szCs w:val="20"/>
              </w:rPr>
              <w:t>il pagamento del corrispettivo solo con riferimento alle prestazioni già eseguite e nei limiti dell’utilità ricevuta;</w:t>
            </w:r>
          </w:p>
        </w:tc>
      </w:tr>
      <w:tr w:rsidR="002C6D75" w:rsidRPr="00A2213A" w14:paraId="335CFB00" w14:textId="77777777" w:rsidTr="003C7F28">
        <w:trPr>
          <w:trHeight w:val="690"/>
        </w:trPr>
        <w:tc>
          <w:tcPr>
            <w:tcW w:w="1577" w:type="dxa"/>
          </w:tcPr>
          <w:p w14:paraId="7917B78F" w14:textId="2BD114D9"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9A3C25">
              <w:rPr>
                <w:rFonts w:asciiTheme="minorHAnsi" w:hAnsiTheme="minorHAnsi" w:cstheme="minorHAnsi"/>
                <w:b/>
                <w:sz w:val="20"/>
                <w:szCs w:val="20"/>
              </w:rPr>
              <w:t>TENUTO CONTO</w:t>
            </w:r>
          </w:p>
        </w:tc>
        <w:tc>
          <w:tcPr>
            <w:tcW w:w="8067" w:type="dxa"/>
          </w:tcPr>
          <w:p w14:paraId="1DE9F4B1" w14:textId="78E23C44" w:rsidR="002C6D75" w:rsidRPr="00A2213A"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B2C90">
              <w:rPr>
                <w:rFonts w:asciiTheme="minorHAnsi" w:hAnsiTheme="minorHAnsi" w:cstheme="minorHAnsi"/>
                <w:sz w:val="20"/>
                <w:szCs w:val="20"/>
              </w:rPr>
              <w:t>che, ai sensi dell’Art. 1, comma 4, della Legge 11 settembre 2020, n. 120, in deroga all’Art. 93 del D. Lgs. 18 aprile 2016, n. 50, questa Amministrazione scolastica non ha richiesto presentazione della garanzia provvisoria, in considerazione della tipologia e specificità della procedura e non ricorrendo particolari esigenze che giustifichino la richiesta</w:t>
            </w:r>
            <w:r w:rsidR="00DB66D3">
              <w:rPr>
                <w:rFonts w:asciiTheme="minorHAnsi" w:hAnsiTheme="minorHAnsi" w:cstheme="minorHAnsi"/>
                <w:sz w:val="20"/>
                <w:szCs w:val="20"/>
              </w:rPr>
              <w:t>,</w:t>
            </w:r>
            <w:r w:rsidRPr="003B2C90">
              <w:rPr>
                <w:rFonts w:asciiTheme="minorHAnsi" w:hAnsiTheme="minorHAnsi" w:cstheme="minorHAnsi"/>
                <w:sz w:val="20"/>
                <w:szCs w:val="20"/>
              </w:rPr>
              <w:t xml:space="preserve"> così come richiamato dell’Avviso di ricognizione;</w:t>
            </w:r>
          </w:p>
        </w:tc>
      </w:tr>
      <w:tr w:rsidR="002C6D75" w:rsidRPr="002B4213" w14:paraId="6AF958EE" w14:textId="77777777" w:rsidTr="003C7F28">
        <w:trPr>
          <w:trHeight w:val="690"/>
        </w:trPr>
        <w:tc>
          <w:tcPr>
            <w:tcW w:w="1577" w:type="dxa"/>
          </w:tcPr>
          <w:p w14:paraId="6B24DBD7" w14:textId="0600FFA7"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tc>
        <w:tc>
          <w:tcPr>
            <w:tcW w:w="8067" w:type="dxa"/>
            <w:vAlign w:val="center"/>
          </w:tcPr>
          <w:p w14:paraId="0012C417" w14:textId="1544DDA7" w:rsidR="002C6D75" w:rsidRPr="003C7F28" w:rsidRDefault="002C6D75" w:rsidP="002C6D75">
            <w:pPr>
              <w:spacing w:after="120"/>
              <w:jc w:val="both"/>
              <w:rPr>
                <w:rFonts w:asciiTheme="minorHAnsi" w:hAnsiTheme="minorHAnsi" w:cstheme="minorHAnsi"/>
                <w:sz w:val="20"/>
                <w:szCs w:val="20"/>
              </w:rPr>
            </w:pPr>
            <w:r w:rsidRPr="003B2C90">
              <w:rPr>
                <w:rFonts w:asciiTheme="minorHAnsi" w:hAnsiTheme="minorHAnsi" w:cstheme="minorHAnsi"/>
                <w:sz w:val="20"/>
                <w:szCs w:val="20"/>
              </w:rPr>
              <w:t>che l’affidamento in oggetto d</w:t>
            </w:r>
            <w:r>
              <w:rPr>
                <w:rFonts w:asciiTheme="minorHAnsi" w:hAnsiTheme="minorHAnsi" w:cstheme="minorHAnsi"/>
                <w:sz w:val="20"/>
                <w:szCs w:val="20"/>
              </w:rPr>
              <w:t>ar</w:t>
            </w:r>
            <w:r w:rsidRPr="003B2C90">
              <w:rPr>
                <w:rFonts w:asciiTheme="minorHAnsi" w:hAnsiTheme="minorHAnsi" w:cstheme="minorHAnsi"/>
                <w:sz w:val="20"/>
                <w:szCs w:val="20"/>
              </w:rPr>
              <w:t>à luogo ad una transazione soggetta agli obblighi di tracciabilità dei flussi finanziari previsti dalla Legge 13 agosto 2010, n. 136 «</w:t>
            </w:r>
            <w:r w:rsidRPr="000E3949">
              <w:rPr>
                <w:rFonts w:asciiTheme="minorHAnsi" w:hAnsiTheme="minorHAnsi" w:cstheme="minorHAnsi"/>
                <w:i/>
                <w:sz w:val="20"/>
                <w:szCs w:val="20"/>
              </w:rPr>
              <w:t>Piano straordinario contro le mafie</w:t>
            </w:r>
            <w:r w:rsidRPr="003B2C90">
              <w:rPr>
                <w:rFonts w:asciiTheme="minorHAnsi" w:hAnsiTheme="minorHAnsi" w:cstheme="minorHAnsi"/>
                <w:sz w:val="20"/>
                <w:szCs w:val="20"/>
              </w:rPr>
              <w:t>» e dal D.L. 12 novembre 2010, n. 187 «</w:t>
            </w:r>
            <w:r w:rsidRPr="000E3949">
              <w:rPr>
                <w:rFonts w:asciiTheme="minorHAnsi" w:hAnsiTheme="minorHAnsi" w:cstheme="minorHAnsi"/>
                <w:i/>
                <w:sz w:val="20"/>
                <w:szCs w:val="20"/>
              </w:rPr>
              <w:t>Misure urgenti in materia di sicurezza</w:t>
            </w:r>
            <w:r w:rsidRPr="003B2C90">
              <w:rPr>
                <w:rFonts w:asciiTheme="minorHAnsi" w:hAnsiTheme="minorHAnsi" w:cstheme="minorHAnsi"/>
                <w:sz w:val="20"/>
                <w:szCs w:val="20"/>
              </w:rPr>
              <w:t>», convertito con modificazioni dalla Legge 17 dicembre 2010, n. 217</w:t>
            </w:r>
            <w:r w:rsidR="00DB66D3">
              <w:rPr>
                <w:rFonts w:asciiTheme="minorHAnsi" w:hAnsiTheme="minorHAnsi" w:cstheme="minorHAnsi"/>
                <w:sz w:val="20"/>
                <w:szCs w:val="20"/>
              </w:rPr>
              <w:t>,</w:t>
            </w:r>
            <w:r w:rsidRPr="003B2C90">
              <w:rPr>
                <w:rFonts w:asciiTheme="minorHAnsi" w:hAnsiTheme="minorHAnsi" w:cstheme="minorHAnsi"/>
                <w:sz w:val="20"/>
                <w:szCs w:val="20"/>
              </w:rPr>
              <w:t xml:space="preserve"> e relative modifiche, integrazioni e provvedimenti di attuazione;</w:t>
            </w:r>
          </w:p>
        </w:tc>
      </w:tr>
      <w:tr w:rsidR="002C6D75" w:rsidRPr="002B4213" w14:paraId="3FA22785" w14:textId="77777777" w:rsidTr="00AC025E">
        <w:trPr>
          <w:trHeight w:val="137"/>
        </w:trPr>
        <w:tc>
          <w:tcPr>
            <w:tcW w:w="1577" w:type="dxa"/>
          </w:tcPr>
          <w:p w14:paraId="48C6DA93" w14:textId="74CC774E" w:rsidR="002C6D75" w:rsidRPr="003C7F28" w:rsidRDefault="002C6D75" w:rsidP="002C6D75">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tc>
        <w:tc>
          <w:tcPr>
            <w:tcW w:w="8067" w:type="dxa"/>
          </w:tcPr>
          <w:p w14:paraId="0FBC2347" w14:textId="4BABC5D3" w:rsidR="002C6D75" w:rsidRPr="003C7F28" w:rsidRDefault="00AC025E" w:rsidP="00AC025E">
            <w:pPr>
              <w:spacing w:after="120"/>
              <w:jc w:val="both"/>
              <w:rPr>
                <w:rFonts w:asciiTheme="minorHAnsi" w:hAnsiTheme="minorHAnsi" w:cstheme="minorHAnsi"/>
                <w:sz w:val="20"/>
                <w:szCs w:val="20"/>
              </w:rPr>
            </w:pPr>
            <w:r w:rsidRPr="00AC025E">
              <w:rPr>
                <w:rFonts w:asciiTheme="minorHAnsi" w:hAnsiTheme="minorHAnsi" w:cstheme="minorHAnsi"/>
                <w:sz w:val="20"/>
                <w:szCs w:val="20"/>
              </w:rPr>
              <w:t>che gli importi di cui al presente provvedimento trovano copertura nel bilancio di previsione per l’anno 20</w:t>
            </w:r>
            <w:r w:rsidRPr="00AC025E">
              <w:rPr>
                <w:rFonts w:asciiTheme="minorHAnsi" w:hAnsiTheme="minorHAnsi" w:cstheme="minorHAnsi"/>
                <w:sz w:val="20"/>
                <w:szCs w:val="20"/>
                <w:highlight w:val="cyan"/>
              </w:rPr>
              <w:t>[…]</w:t>
            </w:r>
            <w:r w:rsidRPr="00AC025E">
              <w:rPr>
                <w:rFonts w:asciiTheme="minorHAnsi" w:hAnsiTheme="minorHAnsi" w:cstheme="minorHAnsi"/>
                <w:sz w:val="20"/>
                <w:szCs w:val="20"/>
              </w:rPr>
              <w:t>;</w:t>
            </w:r>
          </w:p>
        </w:tc>
      </w:tr>
      <w:tr w:rsidR="00AC025E" w:rsidRPr="002B4213" w14:paraId="3A833EA8" w14:textId="77777777" w:rsidTr="00AC025E">
        <w:trPr>
          <w:trHeight w:val="137"/>
        </w:trPr>
        <w:tc>
          <w:tcPr>
            <w:tcW w:w="1577" w:type="dxa"/>
          </w:tcPr>
          <w:p w14:paraId="43293562" w14:textId="31120624" w:rsidR="00AC025E" w:rsidRPr="003C7F28" w:rsidRDefault="00AC025E" w:rsidP="00AC025E">
            <w:pPr>
              <w:widowControl w:val="0"/>
              <w:tabs>
                <w:tab w:val="left" w:pos="2310"/>
              </w:tabs>
              <w:autoSpaceDE w:val="0"/>
              <w:autoSpaceDN w:val="0"/>
              <w:adjustRightInd w:val="0"/>
              <w:spacing w:after="120"/>
              <w:ind w:right="-23"/>
              <w:jc w:val="both"/>
              <w:rPr>
                <w:rFonts w:asciiTheme="minorHAnsi" w:hAnsiTheme="minorHAnsi" w:cstheme="minorHAnsi"/>
                <w:b/>
                <w:sz w:val="20"/>
                <w:szCs w:val="20"/>
              </w:rPr>
            </w:pPr>
            <w:r w:rsidRPr="003C7F28">
              <w:rPr>
                <w:rFonts w:asciiTheme="minorHAnsi" w:hAnsiTheme="minorHAnsi" w:cstheme="minorHAnsi"/>
                <w:b/>
                <w:sz w:val="20"/>
                <w:szCs w:val="20"/>
              </w:rPr>
              <w:t>CONSIDERATO</w:t>
            </w:r>
          </w:p>
        </w:tc>
        <w:tc>
          <w:tcPr>
            <w:tcW w:w="8067" w:type="dxa"/>
          </w:tcPr>
          <w:p w14:paraId="1EF1BA42" w14:textId="34CF8FF3" w:rsidR="00AC025E" w:rsidRPr="003C7F28" w:rsidRDefault="00AC025E" w:rsidP="00AC025E">
            <w:pPr>
              <w:spacing w:after="120"/>
              <w:jc w:val="both"/>
              <w:rPr>
                <w:rFonts w:asciiTheme="minorHAnsi" w:hAnsiTheme="minorHAnsi" w:cstheme="minorHAnsi"/>
                <w:sz w:val="20"/>
                <w:szCs w:val="20"/>
              </w:rPr>
            </w:pPr>
            <w:r w:rsidRPr="003C7F28">
              <w:rPr>
                <w:rFonts w:asciiTheme="minorHAnsi" w:hAnsiTheme="minorHAnsi" w:cstheme="minorHAnsi"/>
                <w:sz w:val="20"/>
                <w:szCs w:val="20"/>
              </w:rPr>
              <w:t xml:space="preserve">che per espressa previsione dell’art. 32, comma 10, lett. b) del D. Lgs. 18 aprile 2016, n. 50, non si applica il termine dilatorio di </w:t>
            </w:r>
            <w:r w:rsidRPr="00924EAB">
              <w:rPr>
                <w:rFonts w:asciiTheme="minorHAnsi" w:hAnsiTheme="minorHAnsi" w:cstheme="minorHAnsi"/>
                <w:i/>
                <w:sz w:val="20"/>
                <w:szCs w:val="20"/>
              </w:rPr>
              <w:t>stand still</w:t>
            </w:r>
            <w:r w:rsidRPr="003C7F28">
              <w:rPr>
                <w:rFonts w:asciiTheme="minorHAnsi" w:hAnsiTheme="minorHAnsi" w:cstheme="minorHAnsi"/>
                <w:sz w:val="20"/>
                <w:szCs w:val="20"/>
              </w:rPr>
              <w:t xml:space="preserve"> di 35 giorni per la stipula del contratto;</w:t>
            </w:r>
          </w:p>
        </w:tc>
      </w:tr>
    </w:tbl>
    <w:p w14:paraId="33966AD2" w14:textId="77777777" w:rsidR="00AC025E" w:rsidRPr="00AC025E" w:rsidRDefault="00AC025E" w:rsidP="00AC025E">
      <w:pPr>
        <w:spacing w:before="120" w:after="120"/>
        <w:rPr>
          <w:rFonts w:asciiTheme="minorHAnsi" w:eastAsia="Calibri" w:hAnsiTheme="minorHAnsi" w:cstheme="minorHAnsi"/>
          <w:kern w:val="2"/>
          <w:sz w:val="20"/>
          <w:szCs w:val="20"/>
        </w:rPr>
      </w:pPr>
      <w:r w:rsidRPr="00AC025E">
        <w:rPr>
          <w:rFonts w:asciiTheme="minorHAnsi" w:eastAsia="Calibri" w:hAnsiTheme="minorHAnsi" w:cstheme="minorHAnsi"/>
          <w:kern w:val="2"/>
          <w:sz w:val="20"/>
          <w:szCs w:val="20"/>
        </w:rPr>
        <w:t>nell’osservanza delle disposizioni di cui alla Legge 6 novembre 2012, n. 190, recante «</w:t>
      </w:r>
      <w:r w:rsidRPr="00AC025E">
        <w:rPr>
          <w:rFonts w:asciiTheme="minorHAnsi" w:eastAsia="Calibri" w:hAnsiTheme="minorHAnsi" w:cstheme="minorHAnsi"/>
          <w:i/>
          <w:kern w:val="2"/>
          <w:sz w:val="20"/>
          <w:szCs w:val="20"/>
        </w:rPr>
        <w:t>Disposizioni per la prevenzione e la repressione della corruzione e dell’illegalità della Pubblica Amministrazione</w:t>
      </w:r>
      <w:r w:rsidRPr="00AC025E">
        <w:rPr>
          <w:rFonts w:asciiTheme="minorHAnsi" w:eastAsia="Calibri" w:hAnsiTheme="minorHAnsi" w:cstheme="minorHAnsi"/>
          <w:kern w:val="2"/>
          <w:sz w:val="20"/>
          <w:szCs w:val="20"/>
        </w:rPr>
        <w:t>»,</w:t>
      </w:r>
    </w:p>
    <w:p w14:paraId="0735DD44" w14:textId="68759833" w:rsidR="00C2246E" w:rsidRDefault="00C2246E" w:rsidP="00C2246E">
      <w:pPr>
        <w:spacing w:before="120" w:after="120"/>
        <w:jc w:val="center"/>
        <w:rPr>
          <w:rFonts w:asciiTheme="minorHAnsi" w:eastAsia="Calibri" w:hAnsiTheme="minorHAnsi" w:cstheme="minorHAnsi"/>
          <w:b/>
          <w:bCs/>
          <w:sz w:val="20"/>
          <w:szCs w:val="20"/>
        </w:rPr>
      </w:pPr>
      <w:r w:rsidRPr="002B4213">
        <w:rPr>
          <w:rFonts w:asciiTheme="minorHAnsi" w:eastAsia="Calibri" w:hAnsiTheme="minorHAnsi" w:cstheme="minorHAnsi"/>
          <w:b/>
          <w:bCs/>
          <w:sz w:val="20"/>
          <w:szCs w:val="20"/>
        </w:rPr>
        <w:t>DETERMINA</w:t>
      </w:r>
    </w:p>
    <w:p w14:paraId="692C7A4C" w14:textId="139D3F0C" w:rsidR="00AC025E" w:rsidRDefault="00AC025E" w:rsidP="00AC025E">
      <w:pPr>
        <w:suppressAutoHyphens/>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lastRenderedPageBreak/>
        <w:t>p</w:t>
      </w:r>
      <w:r w:rsidRPr="002B4213">
        <w:rPr>
          <w:rFonts w:asciiTheme="minorHAnsi" w:eastAsia="Times New Roman" w:hAnsiTheme="minorHAnsi" w:cstheme="minorHAnsi"/>
          <w:sz w:val="20"/>
          <w:szCs w:val="20"/>
          <w:lang w:eastAsia="zh-CN"/>
        </w:rPr>
        <w:t>er i motivi espressi nella premessa, che si intendono integralmente richiamati:</w:t>
      </w:r>
    </w:p>
    <w:p w14:paraId="38761D85" w14:textId="41E6039D" w:rsidR="00C2246E" w:rsidRDefault="00C2246E" w:rsidP="00D67530">
      <w:pPr>
        <w:suppressAutoHyphens/>
        <w:jc w:val="both"/>
        <w:rPr>
          <w:rFonts w:asciiTheme="minorHAnsi" w:eastAsia="Times New Roman" w:hAnsiTheme="minorHAnsi" w:cstheme="minorHAnsi"/>
          <w:sz w:val="20"/>
          <w:szCs w:val="20"/>
          <w:lang w:eastAsia="zh-CN"/>
        </w:rPr>
      </w:pPr>
    </w:p>
    <w:tbl>
      <w:tblPr>
        <w:tblW w:w="9644" w:type="dxa"/>
        <w:tblInd w:w="-5" w:type="dxa"/>
        <w:tblLook w:val="04A0" w:firstRow="1" w:lastRow="0" w:firstColumn="1" w:lastColumn="0" w:noHBand="0" w:noVBand="1"/>
      </w:tblPr>
      <w:tblGrid>
        <w:gridCol w:w="473"/>
        <w:gridCol w:w="9171"/>
      </w:tblGrid>
      <w:tr w:rsidR="00D90FD7" w:rsidRPr="002B4213" w14:paraId="531BDE9E" w14:textId="77777777" w:rsidTr="00BE3924">
        <w:trPr>
          <w:trHeight w:val="690"/>
        </w:trPr>
        <w:tc>
          <w:tcPr>
            <w:tcW w:w="473" w:type="dxa"/>
            <w:tcBorders>
              <w:top w:val="single" w:sz="4" w:space="0" w:color="auto"/>
              <w:left w:val="single" w:sz="4" w:space="0" w:color="auto"/>
              <w:bottom w:val="single" w:sz="4" w:space="0" w:color="auto"/>
              <w:right w:val="single" w:sz="4" w:space="0" w:color="auto"/>
            </w:tcBorders>
            <w:hideMark/>
          </w:tcPr>
          <w:p w14:paraId="38A3D133" w14:textId="3E832566" w:rsidR="00D90FD7" w:rsidRPr="00BE3924" w:rsidRDefault="00D90FD7" w:rsidP="00C5644E">
            <w:pPr>
              <w:spacing w:before="120" w:after="120"/>
              <w:rPr>
                <w:rFonts w:asciiTheme="minorHAnsi" w:eastAsia="Calibri" w:hAnsiTheme="minorHAnsi" w:cstheme="minorHAnsi"/>
                <w:sz w:val="20"/>
                <w:szCs w:val="20"/>
              </w:rPr>
            </w:pPr>
            <w:r w:rsidRPr="00BE3924">
              <w:rPr>
                <w:rFonts w:asciiTheme="minorHAnsi" w:eastAsia="Calibri" w:hAnsiTheme="minorHAnsi" w:cstheme="minorHAnsi"/>
                <w:sz w:val="20"/>
                <w:szCs w:val="20"/>
              </w:rPr>
              <w:t>1.</w:t>
            </w:r>
          </w:p>
        </w:tc>
        <w:tc>
          <w:tcPr>
            <w:tcW w:w="9171" w:type="dxa"/>
            <w:tcBorders>
              <w:top w:val="single" w:sz="4" w:space="0" w:color="auto"/>
              <w:left w:val="single" w:sz="4" w:space="0" w:color="auto"/>
              <w:bottom w:val="single" w:sz="4" w:space="0" w:color="auto"/>
              <w:right w:val="single" w:sz="4" w:space="0" w:color="auto"/>
            </w:tcBorders>
            <w:hideMark/>
          </w:tcPr>
          <w:p w14:paraId="7F9D5D93" w14:textId="437C88C2" w:rsidR="00D90FD7" w:rsidRPr="002B4213" w:rsidRDefault="00D5054B" w:rsidP="00C5644E">
            <w:pPr>
              <w:spacing w:before="120" w:after="120"/>
              <w:ind w:left="-57"/>
              <w:jc w:val="both"/>
              <w:rPr>
                <w:rFonts w:asciiTheme="minorHAnsi" w:eastAsia="Calibri" w:hAnsiTheme="minorHAnsi" w:cstheme="minorHAnsi"/>
                <w:sz w:val="20"/>
                <w:szCs w:val="20"/>
              </w:rPr>
            </w:pPr>
            <w:r w:rsidRPr="002B4213">
              <w:rPr>
                <w:rFonts w:asciiTheme="minorHAnsi" w:eastAsia="Calibri" w:hAnsiTheme="minorHAnsi" w:cstheme="minorHAnsi"/>
                <w:bCs/>
                <w:sz w:val="20"/>
                <w:szCs w:val="20"/>
              </w:rPr>
              <w:t>Di a</w:t>
            </w:r>
            <w:r>
              <w:rPr>
                <w:rFonts w:asciiTheme="minorHAnsi" w:eastAsia="Calibri" w:hAnsiTheme="minorHAnsi" w:cstheme="minorHAnsi"/>
                <w:bCs/>
                <w:sz w:val="20"/>
                <w:szCs w:val="20"/>
              </w:rPr>
              <w:t xml:space="preserve">ssegnare, tramite procedura ad Affidamento Diretto, ai sensi </w:t>
            </w:r>
            <w:r w:rsidRPr="00417A17">
              <w:rPr>
                <w:rFonts w:asciiTheme="minorHAnsi" w:eastAsia="Calibri" w:hAnsiTheme="minorHAnsi" w:cstheme="minorHAnsi"/>
                <w:bCs/>
                <w:sz w:val="20"/>
                <w:szCs w:val="20"/>
              </w:rPr>
              <w:t xml:space="preserve">D. Lgs. 18 aprile 2016, n. 50 così come modificato dall’Art. 1 della L. 11.9.2020 N. 120 (decreto semplificazioni) e dall’Art. 51 del D.L. 77/2021 (decreto semplificazioni-bis) </w:t>
            </w:r>
            <w:r>
              <w:rPr>
                <w:rFonts w:asciiTheme="minorHAnsi" w:eastAsia="Calibri" w:hAnsiTheme="minorHAnsi" w:cstheme="minorHAnsi"/>
                <w:bCs/>
                <w:sz w:val="20"/>
                <w:szCs w:val="20"/>
              </w:rPr>
              <w:t>i servizi assicurativi</w:t>
            </w:r>
            <w:r w:rsidRPr="002B4213">
              <w:rPr>
                <w:rFonts w:asciiTheme="minorHAnsi" w:eastAsia="Calibri" w:hAnsiTheme="minorHAnsi" w:cstheme="minorHAnsi"/>
                <w:bCs/>
                <w:sz w:val="20"/>
                <w:szCs w:val="20"/>
              </w:rPr>
              <w:t xml:space="preserve"> con decorrenza, scadenza, durata e importo complessivo </w:t>
            </w:r>
            <w:r>
              <w:rPr>
                <w:rFonts w:asciiTheme="minorHAnsi" w:eastAsia="Calibri" w:hAnsiTheme="minorHAnsi" w:cstheme="minorHAnsi"/>
                <w:bCs/>
                <w:sz w:val="20"/>
                <w:szCs w:val="20"/>
              </w:rPr>
              <w:t>i</w:t>
            </w:r>
            <w:r w:rsidRPr="002B4213">
              <w:rPr>
                <w:rFonts w:asciiTheme="minorHAnsi" w:eastAsia="Calibri" w:hAnsiTheme="minorHAnsi" w:cstheme="minorHAnsi"/>
                <w:bCs/>
                <w:sz w:val="20"/>
                <w:szCs w:val="20"/>
              </w:rPr>
              <w:t>ndicat</w:t>
            </w:r>
            <w:r>
              <w:rPr>
                <w:rFonts w:asciiTheme="minorHAnsi" w:eastAsia="Calibri" w:hAnsiTheme="minorHAnsi" w:cstheme="minorHAnsi"/>
                <w:bCs/>
                <w:sz w:val="20"/>
                <w:szCs w:val="20"/>
              </w:rPr>
              <w:t>i</w:t>
            </w:r>
            <w:r w:rsidRPr="002B4213">
              <w:rPr>
                <w:rFonts w:asciiTheme="minorHAnsi" w:eastAsia="Calibri" w:hAnsiTheme="minorHAnsi" w:cstheme="minorHAnsi"/>
                <w:bCs/>
                <w:sz w:val="20"/>
                <w:szCs w:val="20"/>
              </w:rPr>
              <w:t xml:space="preserve"> in oggetto</w:t>
            </w:r>
            <w:r>
              <w:rPr>
                <w:rFonts w:asciiTheme="minorHAnsi" w:eastAsia="Calibri" w:hAnsiTheme="minorHAnsi" w:cstheme="minorHAnsi"/>
                <w:bCs/>
                <w:sz w:val="20"/>
                <w:szCs w:val="20"/>
              </w:rPr>
              <w:t>,</w:t>
            </w:r>
            <w:r>
              <w:rPr>
                <w:rFonts w:asciiTheme="minorHAnsi" w:eastAsia="Calibri" w:hAnsiTheme="minorHAnsi" w:cstheme="minorHAnsi"/>
                <w:sz w:val="20"/>
                <w:szCs w:val="20"/>
              </w:rPr>
              <w:t xml:space="preserve"> all’Operatore economico</w:t>
            </w:r>
            <w:r w:rsidRPr="002B4213">
              <w:rPr>
                <w:rFonts w:asciiTheme="minorHAnsi" w:eastAsia="Calibri" w:hAnsiTheme="minorHAnsi" w:cstheme="minorHAnsi"/>
                <w:bCs/>
                <w:sz w:val="20"/>
                <w:szCs w:val="20"/>
              </w:rPr>
              <w:t xml:space="preserve">: </w:t>
            </w:r>
            <w:r w:rsidRPr="00FF7358">
              <w:rPr>
                <w:rFonts w:asciiTheme="minorHAnsi" w:eastAsia="Calibri" w:hAnsiTheme="minorHAnsi" w:cstheme="minorHAnsi"/>
                <w:bCs/>
                <w:sz w:val="20"/>
                <w:szCs w:val="20"/>
              </w:rPr>
              <w:t xml:space="preserve">Società Assicuratrice </w:t>
            </w:r>
            <w:r w:rsidRPr="00FF7358">
              <w:rPr>
                <w:rFonts w:asciiTheme="minorHAnsi" w:eastAsia="Calibri" w:hAnsiTheme="minorHAnsi" w:cstheme="minorHAnsi"/>
                <w:bCs/>
                <w:sz w:val="20"/>
                <w:szCs w:val="20"/>
                <w:highlight w:val="cyan"/>
              </w:rPr>
              <w:t>[…]</w:t>
            </w:r>
            <w:r w:rsidRPr="00FF7358">
              <w:rPr>
                <w:rFonts w:asciiTheme="minorHAnsi" w:eastAsia="Calibri" w:hAnsiTheme="minorHAnsi" w:cstheme="minorHAnsi"/>
                <w:bCs/>
                <w:sz w:val="20"/>
                <w:szCs w:val="20"/>
              </w:rPr>
              <w:t xml:space="preserve"> – Agenzia </w:t>
            </w:r>
            <w:r w:rsidRPr="00FF7358">
              <w:rPr>
                <w:rFonts w:asciiTheme="minorHAnsi" w:eastAsia="Calibri" w:hAnsiTheme="minorHAnsi" w:cstheme="minorHAnsi"/>
                <w:bCs/>
                <w:sz w:val="20"/>
                <w:szCs w:val="20"/>
                <w:highlight w:val="cyan"/>
              </w:rPr>
              <w:t>[…]</w:t>
            </w:r>
          </w:p>
        </w:tc>
      </w:tr>
      <w:tr w:rsidR="00EC1F01" w:rsidRPr="002B4213" w14:paraId="1E4C06A9" w14:textId="77777777" w:rsidTr="00BE3924">
        <w:trPr>
          <w:trHeight w:val="690"/>
        </w:trPr>
        <w:tc>
          <w:tcPr>
            <w:tcW w:w="473" w:type="dxa"/>
            <w:tcBorders>
              <w:top w:val="single" w:sz="4" w:space="0" w:color="auto"/>
              <w:left w:val="single" w:sz="4" w:space="0" w:color="auto"/>
              <w:bottom w:val="single" w:sz="4" w:space="0" w:color="auto"/>
              <w:right w:val="single" w:sz="4" w:space="0" w:color="auto"/>
            </w:tcBorders>
          </w:tcPr>
          <w:p w14:paraId="1836F3AE" w14:textId="4020FD02" w:rsidR="00EC1F01" w:rsidRPr="00BE3924" w:rsidRDefault="00E17A49" w:rsidP="00C5644E">
            <w:pPr>
              <w:spacing w:before="120" w:after="120"/>
              <w:rPr>
                <w:rFonts w:asciiTheme="minorHAnsi" w:eastAsia="Calibri" w:hAnsiTheme="minorHAnsi" w:cstheme="minorHAnsi"/>
                <w:sz w:val="20"/>
                <w:szCs w:val="20"/>
              </w:rPr>
            </w:pPr>
            <w:r w:rsidRPr="00BE3924">
              <w:rPr>
                <w:rFonts w:asciiTheme="minorHAnsi" w:eastAsia="Calibri" w:hAnsiTheme="minorHAnsi" w:cstheme="minorHAnsi"/>
                <w:sz w:val="20"/>
                <w:szCs w:val="20"/>
              </w:rPr>
              <w:t>2.</w:t>
            </w:r>
          </w:p>
        </w:tc>
        <w:tc>
          <w:tcPr>
            <w:tcW w:w="9171" w:type="dxa"/>
            <w:tcBorders>
              <w:top w:val="single" w:sz="4" w:space="0" w:color="auto"/>
              <w:left w:val="single" w:sz="4" w:space="0" w:color="auto"/>
              <w:bottom w:val="single" w:sz="4" w:space="0" w:color="auto"/>
              <w:right w:val="single" w:sz="4" w:space="0" w:color="auto"/>
            </w:tcBorders>
          </w:tcPr>
          <w:p w14:paraId="0F2F2285" w14:textId="16AEAD1F" w:rsidR="00EC1F01" w:rsidRPr="00176CDD" w:rsidRDefault="00BE3924" w:rsidP="00C5644E">
            <w:pPr>
              <w:spacing w:before="120" w:after="120"/>
              <w:ind w:left="-57"/>
              <w:jc w:val="both"/>
              <w:rPr>
                <w:rFonts w:asciiTheme="minorHAnsi" w:eastAsia="Calibri" w:hAnsiTheme="minorHAnsi" w:cstheme="minorHAnsi"/>
                <w:sz w:val="20"/>
                <w:szCs w:val="20"/>
              </w:rPr>
            </w:pPr>
            <w:r w:rsidRPr="00095B9F">
              <w:rPr>
                <w:rFonts w:ascii="Calibri" w:hAnsi="Calibri" w:cs="Calibri"/>
                <w:sz w:val="20"/>
                <w:szCs w:val="20"/>
                <w:highlight w:val="cyan"/>
              </w:rPr>
              <w:t>[</w:t>
            </w:r>
            <w:r w:rsidRPr="00095B9F">
              <w:rPr>
                <w:rFonts w:ascii="Calibri" w:hAnsi="Calibri" w:cs="Calibri"/>
                <w:i/>
                <w:sz w:val="20"/>
                <w:szCs w:val="20"/>
                <w:highlight w:val="cyan"/>
              </w:rPr>
              <w:t>eventuale</w:t>
            </w:r>
            <w:r w:rsidRPr="00095B9F">
              <w:rPr>
                <w:rFonts w:ascii="Calibri" w:hAnsi="Calibri" w:cs="Calibri"/>
                <w:sz w:val="20"/>
                <w:szCs w:val="20"/>
                <w:highlight w:val="cyan"/>
              </w:rPr>
              <w:t>]</w:t>
            </w:r>
            <w:r w:rsidRPr="00095B9F">
              <w:rPr>
                <w:rFonts w:ascii="Calibri" w:hAnsi="Calibri" w:cs="Calibri"/>
                <w:sz w:val="20"/>
                <w:szCs w:val="20"/>
              </w:rPr>
              <w:t xml:space="preserve"> </w:t>
            </w:r>
            <w:r w:rsidR="00AC025E">
              <w:rPr>
                <w:rFonts w:asciiTheme="minorHAnsi" w:eastAsia="Calibri" w:hAnsiTheme="minorHAnsi" w:cstheme="minorHAnsi"/>
                <w:sz w:val="20"/>
                <w:szCs w:val="20"/>
              </w:rPr>
              <w:t>N</w:t>
            </w:r>
            <w:r w:rsidRPr="00176CDD">
              <w:rPr>
                <w:rFonts w:asciiTheme="minorHAnsi" w:eastAsia="Calibri" w:hAnsiTheme="minorHAnsi" w:cstheme="minorHAnsi"/>
                <w:sz w:val="20"/>
                <w:szCs w:val="20"/>
              </w:rPr>
              <w:t xml:space="preserve">el rispetto del principio di rotazione, di </w:t>
            </w:r>
            <w:r>
              <w:rPr>
                <w:rFonts w:asciiTheme="minorHAnsi" w:eastAsia="Calibri" w:hAnsiTheme="minorHAnsi" w:cstheme="minorHAnsi"/>
                <w:sz w:val="20"/>
                <w:szCs w:val="20"/>
              </w:rPr>
              <w:t xml:space="preserve">assegnare l’appalto alla </w:t>
            </w:r>
            <w:r w:rsidRPr="00FF7358">
              <w:rPr>
                <w:rFonts w:asciiTheme="minorHAnsi" w:eastAsia="Calibri" w:hAnsiTheme="minorHAnsi" w:cstheme="minorHAnsi"/>
                <w:bCs/>
                <w:sz w:val="20"/>
                <w:szCs w:val="20"/>
              </w:rPr>
              <w:t xml:space="preserve">Società Assicuratrice </w:t>
            </w:r>
            <w:r w:rsidRPr="00FF7358">
              <w:rPr>
                <w:rFonts w:asciiTheme="minorHAnsi" w:eastAsia="Calibri" w:hAnsiTheme="minorHAnsi" w:cstheme="minorHAnsi"/>
                <w:bCs/>
                <w:sz w:val="20"/>
                <w:szCs w:val="20"/>
                <w:highlight w:val="cyan"/>
              </w:rPr>
              <w:t>[…]</w:t>
            </w:r>
            <w:r w:rsidRPr="00FF7358">
              <w:rPr>
                <w:rFonts w:asciiTheme="minorHAnsi" w:eastAsia="Calibri" w:hAnsiTheme="minorHAnsi" w:cstheme="minorHAnsi"/>
                <w:bCs/>
                <w:sz w:val="20"/>
                <w:szCs w:val="20"/>
              </w:rPr>
              <w:t xml:space="preserve"> – Agenzia </w:t>
            </w:r>
            <w:r w:rsidRPr="00FF7358">
              <w:rPr>
                <w:rFonts w:asciiTheme="minorHAnsi" w:eastAsia="Calibri" w:hAnsiTheme="minorHAnsi" w:cstheme="minorHAnsi"/>
                <w:bCs/>
                <w:sz w:val="20"/>
                <w:szCs w:val="20"/>
                <w:highlight w:val="cyan"/>
              </w:rPr>
              <w:t>[…]</w:t>
            </w:r>
            <w:r>
              <w:rPr>
                <w:rFonts w:asciiTheme="minorHAnsi" w:eastAsia="Calibri" w:hAnsiTheme="minorHAnsi" w:cstheme="minorHAnsi"/>
                <w:bCs/>
                <w:sz w:val="20"/>
                <w:szCs w:val="20"/>
              </w:rPr>
              <w:t xml:space="preserve">, in quanto </w:t>
            </w:r>
            <w:r>
              <w:rPr>
                <w:rFonts w:asciiTheme="minorHAnsi" w:eastAsia="Calibri" w:hAnsiTheme="minorHAnsi" w:cstheme="minorHAnsi"/>
                <w:sz w:val="20"/>
                <w:szCs w:val="20"/>
              </w:rPr>
              <w:t>operatore uscente in considerazione de</w:t>
            </w:r>
            <w:r w:rsidRPr="00176CDD">
              <w:rPr>
                <w:rFonts w:asciiTheme="minorHAnsi" w:eastAsia="Calibri" w:hAnsiTheme="minorHAnsi" w:cstheme="minorHAnsi"/>
                <w:sz w:val="20"/>
                <w:szCs w:val="20"/>
              </w:rPr>
              <w:t xml:space="preserve">l grado di soddisfazione maturato con </w:t>
            </w:r>
            <w:r>
              <w:rPr>
                <w:rFonts w:asciiTheme="minorHAnsi" w:eastAsia="Calibri" w:hAnsiTheme="minorHAnsi" w:cstheme="minorHAnsi"/>
                <w:sz w:val="20"/>
                <w:szCs w:val="20"/>
              </w:rPr>
              <w:t xml:space="preserve">lo stesso </w:t>
            </w:r>
            <w:r w:rsidRPr="00176CDD">
              <w:rPr>
                <w:rFonts w:asciiTheme="minorHAnsi" w:eastAsia="Calibri" w:hAnsiTheme="minorHAnsi" w:cstheme="minorHAnsi"/>
                <w:sz w:val="20"/>
                <w:szCs w:val="20"/>
              </w:rPr>
              <w:t>a conclusione del precedente rapporto contrattuale, circa l’esecuzione a regola d’arte del servizio, la qualità della prestazione, il rispetto dei tempi nella gestione dei sinistri, la competitività del valore economico rispetto alla media del mercato di riferimento;</w:t>
            </w:r>
          </w:p>
        </w:tc>
      </w:tr>
      <w:tr w:rsidR="00EC1F01" w:rsidRPr="002B4213" w14:paraId="733A825F" w14:textId="77777777" w:rsidTr="00BE3924">
        <w:trPr>
          <w:trHeight w:val="690"/>
        </w:trPr>
        <w:tc>
          <w:tcPr>
            <w:tcW w:w="473" w:type="dxa"/>
            <w:tcBorders>
              <w:top w:val="single" w:sz="4" w:space="0" w:color="auto"/>
              <w:left w:val="single" w:sz="4" w:space="0" w:color="auto"/>
              <w:bottom w:val="single" w:sz="4" w:space="0" w:color="auto"/>
              <w:right w:val="single" w:sz="4" w:space="0" w:color="auto"/>
            </w:tcBorders>
          </w:tcPr>
          <w:p w14:paraId="0E11C837" w14:textId="5C79059C" w:rsidR="00EC1F01" w:rsidRPr="00BE3924" w:rsidRDefault="00E17A49" w:rsidP="00C5644E">
            <w:pPr>
              <w:spacing w:before="120" w:after="120"/>
              <w:rPr>
                <w:rFonts w:asciiTheme="minorHAnsi" w:eastAsia="Calibri" w:hAnsiTheme="minorHAnsi" w:cstheme="minorHAnsi"/>
                <w:sz w:val="20"/>
                <w:szCs w:val="20"/>
              </w:rPr>
            </w:pPr>
            <w:r w:rsidRPr="00BE3924">
              <w:rPr>
                <w:rFonts w:asciiTheme="minorHAnsi" w:eastAsia="Calibri" w:hAnsiTheme="minorHAnsi" w:cstheme="minorHAnsi"/>
                <w:sz w:val="20"/>
                <w:szCs w:val="20"/>
              </w:rPr>
              <w:t>3.</w:t>
            </w:r>
          </w:p>
        </w:tc>
        <w:tc>
          <w:tcPr>
            <w:tcW w:w="9171" w:type="dxa"/>
            <w:tcBorders>
              <w:top w:val="single" w:sz="4" w:space="0" w:color="auto"/>
              <w:left w:val="single" w:sz="4" w:space="0" w:color="auto"/>
              <w:bottom w:val="single" w:sz="4" w:space="0" w:color="auto"/>
              <w:right w:val="single" w:sz="4" w:space="0" w:color="auto"/>
            </w:tcBorders>
          </w:tcPr>
          <w:p w14:paraId="7C7D95F8" w14:textId="5DFFD354" w:rsidR="00BE3924" w:rsidRPr="00BE3924" w:rsidRDefault="00AC025E" w:rsidP="00AC025E">
            <w:pPr>
              <w:ind w:left="-57"/>
              <w:jc w:val="both"/>
              <w:rPr>
                <w:rFonts w:ascii="Calibri" w:hAnsi="Calibri" w:cs="Calibri"/>
                <w:sz w:val="20"/>
                <w:szCs w:val="20"/>
              </w:rPr>
            </w:pPr>
            <w:r>
              <w:rPr>
                <w:rFonts w:ascii="Calibri" w:hAnsi="Calibri" w:cs="Calibri"/>
                <w:sz w:val="20"/>
                <w:szCs w:val="20"/>
              </w:rPr>
              <w:t>D</w:t>
            </w:r>
            <w:r w:rsidR="00BE3924" w:rsidRPr="00BE3924">
              <w:rPr>
                <w:rFonts w:ascii="Calibri" w:hAnsi="Calibri" w:cs="Calibri"/>
                <w:sz w:val="20"/>
                <w:szCs w:val="20"/>
              </w:rPr>
              <w:t>i dare mandato affinché:</w:t>
            </w:r>
          </w:p>
          <w:p w14:paraId="78EF3530" w14:textId="77777777" w:rsidR="00BE3924" w:rsidRPr="00BE3924" w:rsidRDefault="00BE3924" w:rsidP="00AC025E">
            <w:pPr>
              <w:pStyle w:val="Paragrafoelenco"/>
              <w:numPr>
                <w:ilvl w:val="0"/>
                <w:numId w:val="22"/>
              </w:numPr>
              <w:ind w:left="270" w:hanging="284"/>
              <w:contextualSpacing w:val="0"/>
              <w:jc w:val="both"/>
              <w:rPr>
                <w:rFonts w:ascii="Calibri" w:hAnsi="Calibri" w:cs="Calibri"/>
                <w:sz w:val="20"/>
                <w:szCs w:val="20"/>
              </w:rPr>
            </w:pPr>
            <w:r w:rsidRPr="00BE3924">
              <w:rPr>
                <w:rFonts w:ascii="Calibri" w:hAnsi="Calibri" w:cs="Calibri"/>
                <w:sz w:val="20"/>
                <w:szCs w:val="20"/>
              </w:rPr>
              <w:t>Vengano espletate le verifiche circa la conferma del possesso dei requisiti di carattere generale e speciale in capo all’aggiudicatario;</w:t>
            </w:r>
          </w:p>
          <w:p w14:paraId="5B3AA0DF" w14:textId="7FF384B8" w:rsidR="00EC1F01" w:rsidRPr="00BE3924" w:rsidRDefault="00BE3924" w:rsidP="00BE3924">
            <w:pPr>
              <w:pStyle w:val="Paragrafoelenco"/>
              <w:numPr>
                <w:ilvl w:val="0"/>
                <w:numId w:val="22"/>
              </w:numPr>
              <w:spacing w:before="120" w:after="120"/>
              <w:ind w:left="270" w:hanging="284"/>
              <w:jc w:val="both"/>
              <w:rPr>
                <w:rFonts w:asciiTheme="minorHAnsi" w:eastAsia="Calibri" w:hAnsiTheme="minorHAnsi" w:cs="Calibri"/>
                <w:bCs/>
              </w:rPr>
            </w:pPr>
            <w:r w:rsidRPr="00BE3924">
              <w:rPr>
                <w:rFonts w:ascii="Calibri" w:hAnsi="Calibri" w:cs="Calibri"/>
                <w:sz w:val="20"/>
                <w:szCs w:val="20"/>
              </w:rPr>
              <w:t>Vengano svolte le comunicazioni relative alla presente aggiudicazione a tutti gli operatori economici che hanno presentato offerta, ai sensi dell'art. 76, comma 5, lett. a) del D. Lgs. 18 aprile 2016, n. 50;</w:t>
            </w:r>
          </w:p>
        </w:tc>
      </w:tr>
      <w:tr w:rsidR="00920983" w:rsidRPr="002B4213" w14:paraId="6C5BEA2F" w14:textId="77777777" w:rsidTr="00BE3924">
        <w:trPr>
          <w:trHeight w:val="690"/>
        </w:trPr>
        <w:tc>
          <w:tcPr>
            <w:tcW w:w="473" w:type="dxa"/>
            <w:tcBorders>
              <w:top w:val="single" w:sz="4" w:space="0" w:color="auto"/>
              <w:left w:val="single" w:sz="4" w:space="0" w:color="auto"/>
              <w:bottom w:val="single" w:sz="4" w:space="0" w:color="auto"/>
              <w:right w:val="single" w:sz="4" w:space="0" w:color="auto"/>
            </w:tcBorders>
          </w:tcPr>
          <w:p w14:paraId="2ACC2098" w14:textId="0A1F29C9" w:rsidR="00920983" w:rsidRPr="00BE3924" w:rsidRDefault="00920983" w:rsidP="00920983">
            <w:pPr>
              <w:spacing w:before="120" w:after="120"/>
              <w:rPr>
                <w:rFonts w:asciiTheme="minorHAnsi" w:eastAsia="Calibri" w:hAnsiTheme="minorHAnsi" w:cstheme="minorHAnsi"/>
                <w:sz w:val="20"/>
                <w:szCs w:val="20"/>
              </w:rPr>
            </w:pPr>
            <w:r w:rsidRPr="00BE3924">
              <w:rPr>
                <w:rFonts w:asciiTheme="minorHAnsi" w:eastAsia="Calibri" w:hAnsiTheme="minorHAnsi" w:cstheme="minorHAnsi"/>
                <w:sz w:val="20"/>
                <w:szCs w:val="20"/>
              </w:rPr>
              <w:t>4.</w:t>
            </w:r>
          </w:p>
        </w:tc>
        <w:tc>
          <w:tcPr>
            <w:tcW w:w="9171" w:type="dxa"/>
            <w:tcBorders>
              <w:top w:val="single" w:sz="4" w:space="0" w:color="auto"/>
              <w:left w:val="single" w:sz="4" w:space="0" w:color="auto"/>
              <w:bottom w:val="single" w:sz="4" w:space="0" w:color="auto"/>
              <w:right w:val="single" w:sz="4" w:space="0" w:color="auto"/>
            </w:tcBorders>
          </w:tcPr>
          <w:p w14:paraId="740B30CC" w14:textId="394098E2" w:rsidR="00920983" w:rsidRPr="00C85280" w:rsidRDefault="00AC025E" w:rsidP="00920983">
            <w:pPr>
              <w:spacing w:before="120" w:after="120"/>
              <w:ind w:left="-57"/>
              <w:jc w:val="both"/>
              <w:rPr>
                <w:rFonts w:ascii="Calibri" w:hAnsi="Calibri" w:cs="Calibri"/>
                <w:sz w:val="20"/>
                <w:szCs w:val="20"/>
              </w:rPr>
            </w:pPr>
            <w:r>
              <w:rPr>
                <w:rFonts w:asciiTheme="minorHAnsi" w:eastAsia="Calibri" w:hAnsiTheme="minorHAnsi" w:cstheme="minorHAnsi"/>
                <w:bCs/>
                <w:sz w:val="20"/>
                <w:szCs w:val="20"/>
              </w:rPr>
              <w:t>D</w:t>
            </w:r>
            <w:r w:rsidR="00920983" w:rsidRPr="002B4213">
              <w:rPr>
                <w:rFonts w:asciiTheme="minorHAnsi" w:eastAsia="Calibri" w:hAnsiTheme="minorHAnsi" w:cstheme="minorHAnsi"/>
                <w:bCs/>
                <w:sz w:val="20"/>
                <w:szCs w:val="20"/>
              </w:rPr>
              <w:t xml:space="preserve">i autorizzare la spesa massima complessiva annua di € </w:t>
            </w:r>
            <w:r w:rsidR="00920983" w:rsidRPr="000F1979">
              <w:rPr>
                <w:rFonts w:asciiTheme="minorHAnsi" w:eastAsia="Calibri" w:hAnsiTheme="minorHAnsi" w:cstheme="minorHAnsi"/>
                <w:bCs/>
                <w:sz w:val="20"/>
                <w:szCs w:val="20"/>
                <w:highlight w:val="cyan"/>
              </w:rPr>
              <w:t>[…]</w:t>
            </w:r>
            <w:r w:rsidR="00920983" w:rsidRPr="002B4213">
              <w:rPr>
                <w:rFonts w:asciiTheme="minorHAnsi" w:eastAsia="Calibri" w:hAnsiTheme="minorHAnsi" w:cstheme="minorHAnsi"/>
                <w:bCs/>
                <w:sz w:val="20"/>
                <w:szCs w:val="20"/>
              </w:rPr>
              <w:t xml:space="preserve"> da imputare sul capitolo </w:t>
            </w:r>
            <w:r w:rsidR="00920983" w:rsidRPr="000F1979">
              <w:rPr>
                <w:rFonts w:asciiTheme="minorHAnsi" w:eastAsia="Calibri" w:hAnsiTheme="minorHAnsi" w:cstheme="minorHAnsi"/>
                <w:bCs/>
                <w:sz w:val="20"/>
                <w:szCs w:val="20"/>
                <w:highlight w:val="cyan"/>
              </w:rPr>
              <w:t>[…]</w:t>
            </w:r>
            <w:r w:rsidR="00920983" w:rsidRPr="002B4213">
              <w:rPr>
                <w:rFonts w:asciiTheme="minorHAnsi" w:eastAsia="Calibri" w:hAnsiTheme="minorHAnsi" w:cstheme="minorHAnsi"/>
                <w:bCs/>
                <w:sz w:val="20"/>
                <w:szCs w:val="20"/>
              </w:rPr>
              <w:t xml:space="preserve"> dell’esercizio finanziario per l’anno</w:t>
            </w:r>
            <w:r w:rsidR="00920983">
              <w:rPr>
                <w:rFonts w:asciiTheme="minorHAnsi" w:eastAsia="Calibri" w:hAnsiTheme="minorHAnsi" w:cstheme="minorHAnsi"/>
                <w:bCs/>
                <w:sz w:val="20"/>
                <w:szCs w:val="20"/>
              </w:rPr>
              <w:t xml:space="preserve"> 20</w:t>
            </w:r>
            <w:r w:rsidR="00920983" w:rsidRPr="000F1979">
              <w:rPr>
                <w:rFonts w:asciiTheme="minorHAnsi" w:eastAsia="Calibri" w:hAnsiTheme="minorHAnsi" w:cstheme="minorHAnsi"/>
                <w:bCs/>
                <w:sz w:val="20"/>
                <w:szCs w:val="20"/>
                <w:highlight w:val="cyan"/>
              </w:rPr>
              <w:t>[…]</w:t>
            </w:r>
            <w:r w:rsidR="00920983">
              <w:rPr>
                <w:rFonts w:asciiTheme="minorHAnsi" w:eastAsia="Calibri" w:hAnsiTheme="minorHAnsi" w:cstheme="minorHAnsi"/>
                <w:bCs/>
                <w:sz w:val="20"/>
                <w:szCs w:val="20"/>
              </w:rPr>
              <w:t>;</w:t>
            </w:r>
            <w:r w:rsidR="00920983" w:rsidRPr="002B4213">
              <w:rPr>
                <w:rFonts w:asciiTheme="minorHAnsi" w:eastAsia="Calibri" w:hAnsiTheme="minorHAnsi" w:cstheme="minorHAnsi"/>
                <w:bCs/>
                <w:sz w:val="20"/>
                <w:szCs w:val="20"/>
              </w:rPr>
              <w:t xml:space="preserve"> </w:t>
            </w:r>
          </w:p>
        </w:tc>
      </w:tr>
      <w:tr w:rsidR="00920983" w:rsidRPr="002B4213" w14:paraId="7FD08DA3" w14:textId="77777777" w:rsidTr="00BE3924">
        <w:trPr>
          <w:trHeight w:val="690"/>
        </w:trPr>
        <w:tc>
          <w:tcPr>
            <w:tcW w:w="473" w:type="dxa"/>
            <w:tcBorders>
              <w:top w:val="single" w:sz="4" w:space="0" w:color="auto"/>
              <w:left w:val="single" w:sz="4" w:space="0" w:color="auto"/>
              <w:bottom w:val="single" w:sz="4" w:space="0" w:color="auto"/>
              <w:right w:val="single" w:sz="4" w:space="0" w:color="auto"/>
            </w:tcBorders>
          </w:tcPr>
          <w:p w14:paraId="630DEFEB" w14:textId="11A2C20C" w:rsidR="00920983" w:rsidRPr="00BE3924" w:rsidRDefault="00B70759" w:rsidP="00920983">
            <w:p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5.</w:t>
            </w:r>
          </w:p>
        </w:tc>
        <w:tc>
          <w:tcPr>
            <w:tcW w:w="9171" w:type="dxa"/>
            <w:tcBorders>
              <w:top w:val="single" w:sz="4" w:space="0" w:color="auto"/>
              <w:left w:val="single" w:sz="4" w:space="0" w:color="auto"/>
              <w:bottom w:val="single" w:sz="4" w:space="0" w:color="auto"/>
              <w:right w:val="single" w:sz="4" w:space="0" w:color="auto"/>
            </w:tcBorders>
          </w:tcPr>
          <w:p w14:paraId="28B9ED47" w14:textId="50D41E31" w:rsidR="00920983" w:rsidRPr="002B4213" w:rsidRDefault="009E650B" w:rsidP="009E650B">
            <w:pPr>
              <w:spacing w:before="120" w:after="120"/>
              <w:ind w:left="-57"/>
              <w:jc w:val="both"/>
              <w:rPr>
                <w:rFonts w:asciiTheme="minorHAnsi" w:eastAsia="Calibri" w:hAnsiTheme="minorHAnsi" w:cstheme="minorHAnsi"/>
                <w:bCs/>
                <w:sz w:val="20"/>
                <w:szCs w:val="20"/>
              </w:rPr>
            </w:pPr>
            <w:r>
              <w:rPr>
                <w:rFonts w:asciiTheme="minorHAnsi" w:eastAsia="Calibri" w:hAnsiTheme="minorHAnsi" w:cstheme="minorHAnsi"/>
                <w:bCs/>
                <w:sz w:val="20"/>
                <w:szCs w:val="20"/>
              </w:rPr>
              <w:t>D</w:t>
            </w:r>
            <w:r w:rsidR="00920983" w:rsidRPr="002B4213">
              <w:rPr>
                <w:rFonts w:asciiTheme="minorHAnsi" w:eastAsia="Calibri" w:hAnsiTheme="minorHAnsi" w:cstheme="minorHAnsi"/>
                <w:bCs/>
                <w:sz w:val="20"/>
                <w:szCs w:val="20"/>
              </w:rPr>
              <w:t xml:space="preserve">i nominare il </w:t>
            </w:r>
            <w:r w:rsidR="00920983">
              <w:rPr>
                <w:rFonts w:asciiTheme="minorHAnsi" w:eastAsia="Calibri" w:hAnsiTheme="minorHAnsi" w:cstheme="minorHAnsi"/>
                <w:sz w:val="20"/>
                <w:szCs w:val="20"/>
              </w:rPr>
              <w:t>Dirigente Scolastico</w:t>
            </w:r>
            <w:r w:rsidRPr="002B4213">
              <w:rPr>
                <w:rFonts w:asciiTheme="minorHAnsi" w:eastAsia="Calibri" w:hAnsiTheme="minorHAnsi" w:cstheme="minorHAnsi"/>
                <w:bCs/>
                <w:sz w:val="20"/>
                <w:szCs w:val="20"/>
              </w:rPr>
              <w:t xml:space="preserve"> </w:t>
            </w:r>
            <w:r>
              <w:rPr>
                <w:rFonts w:asciiTheme="minorHAnsi" w:eastAsia="Calibri" w:hAnsiTheme="minorHAnsi" w:cstheme="minorHAnsi"/>
                <w:sz w:val="20"/>
                <w:szCs w:val="20"/>
              </w:rPr>
              <w:t>dell’Amministrazione s</w:t>
            </w:r>
            <w:r w:rsidRPr="002B4213">
              <w:rPr>
                <w:rFonts w:asciiTheme="minorHAnsi" w:eastAsia="Calibri" w:hAnsiTheme="minorHAnsi" w:cstheme="minorHAnsi"/>
                <w:sz w:val="20"/>
                <w:szCs w:val="20"/>
              </w:rPr>
              <w:t>colastica</w:t>
            </w:r>
            <w:r>
              <w:rPr>
                <w:rFonts w:asciiTheme="minorHAnsi" w:eastAsia="Calibri" w:hAnsiTheme="minorHAnsi" w:cstheme="minorHAnsi"/>
                <w:sz w:val="20"/>
                <w:szCs w:val="20"/>
              </w:rPr>
              <w:t xml:space="preserve"> scrivente</w:t>
            </w:r>
            <w:r w:rsidR="00920983" w:rsidRPr="002B4213">
              <w:rPr>
                <w:rFonts w:asciiTheme="minorHAnsi" w:eastAsia="Calibri" w:hAnsiTheme="minorHAnsi" w:cstheme="minorHAnsi"/>
                <w:sz w:val="20"/>
                <w:szCs w:val="20"/>
              </w:rPr>
              <w:t xml:space="preserve">, </w:t>
            </w:r>
            <w:r w:rsidR="00920983">
              <w:rPr>
                <w:rFonts w:asciiTheme="minorHAnsi" w:eastAsia="Calibri" w:hAnsiTheme="minorHAnsi" w:cstheme="minorHAnsi"/>
                <w:bCs/>
                <w:sz w:val="20"/>
                <w:szCs w:val="20"/>
              </w:rPr>
              <w:t>D</w:t>
            </w:r>
            <w:r w:rsidR="00920983" w:rsidRPr="002B4213">
              <w:rPr>
                <w:rFonts w:asciiTheme="minorHAnsi" w:eastAsia="Calibri" w:hAnsiTheme="minorHAnsi" w:cstheme="minorHAnsi"/>
                <w:bCs/>
                <w:sz w:val="20"/>
                <w:szCs w:val="20"/>
              </w:rPr>
              <w:t>ott.</w:t>
            </w:r>
            <w:r w:rsidR="00920983">
              <w:rPr>
                <w:rFonts w:asciiTheme="minorHAnsi" w:eastAsia="Calibri" w:hAnsiTheme="minorHAnsi" w:cstheme="minorHAnsi"/>
                <w:bCs/>
                <w:sz w:val="20"/>
                <w:szCs w:val="20"/>
              </w:rPr>
              <w:t>/Dott.ssa</w:t>
            </w:r>
            <w:r w:rsidR="00920983" w:rsidRPr="002B4213">
              <w:rPr>
                <w:rFonts w:asciiTheme="minorHAnsi" w:eastAsia="Calibri" w:hAnsiTheme="minorHAnsi" w:cstheme="minorHAnsi"/>
                <w:bCs/>
                <w:sz w:val="20"/>
                <w:szCs w:val="20"/>
              </w:rPr>
              <w:t xml:space="preserve"> </w:t>
            </w:r>
            <w:r w:rsidR="00920983" w:rsidRPr="000F1979">
              <w:rPr>
                <w:rFonts w:asciiTheme="minorHAnsi" w:eastAsia="Calibri" w:hAnsiTheme="minorHAnsi" w:cstheme="minorHAnsi"/>
                <w:bCs/>
                <w:sz w:val="20"/>
                <w:szCs w:val="20"/>
                <w:highlight w:val="cyan"/>
              </w:rPr>
              <w:t>[…]</w:t>
            </w:r>
            <w:r w:rsidR="00920983" w:rsidRPr="002B4213">
              <w:rPr>
                <w:rFonts w:asciiTheme="minorHAnsi" w:eastAsia="Calibri" w:hAnsiTheme="minorHAnsi" w:cstheme="minorHAnsi"/>
                <w:sz w:val="20"/>
                <w:szCs w:val="20"/>
              </w:rPr>
              <w:t>,</w:t>
            </w:r>
            <w:r w:rsidR="00920983" w:rsidRPr="002B4213">
              <w:rPr>
                <w:rFonts w:asciiTheme="minorHAnsi" w:eastAsia="Calibri" w:hAnsiTheme="minorHAnsi" w:cstheme="minorHAnsi"/>
                <w:bCs/>
                <w:sz w:val="20"/>
                <w:szCs w:val="20"/>
              </w:rPr>
              <w:t xml:space="preserve"> quale Direttore dell’Esecuzione, ai sensi degli artt. 101 e 111 del </w:t>
            </w:r>
            <w:r w:rsidR="00920983" w:rsidRPr="002B4213">
              <w:rPr>
                <w:rFonts w:asciiTheme="minorHAnsi" w:eastAsia="Calibri" w:hAnsiTheme="minorHAnsi" w:cstheme="minorHAnsi"/>
                <w:sz w:val="20"/>
                <w:szCs w:val="20"/>
              </w:rPr>
              <w:t>D. Lgs. 18 aprile 2016, n. 50</w:t>
            </w:r>
            <w:r w:rsidR="00920983" w:rsidRPr="002B4213">
              <w:rPr>
                <w:rFonts w:asciiTheme="minorHAnsi" w:eastAsia="Calibri" w:hAnsiTheme="minorHAnsi" w:cstheme="minorHAnsi"/>
                <w:bCs/>
                <w:sz w:val="20"/>
                <w:szCs w:val="20"/>
              </w:rPr>
              <w:t xml:space="preserve"> e del D.M. 49/2018;</w:t>
            </w:r>
          </w:p>
        </w:tc>
      </w:tr>
      <w:tr w:rsidR="00920983" w:rsidRPr="002B4213" w14:paraId="485EAB6B" w14:textId="77777777" w:rsidTr="00BE3924">
        <w:trPr>
          <w:trHeight w:val="690"/>
        </w:trPr>
        <w:tc>
          <w:tcPr>
            <w:tcW w:w="473" w:type="dxa"/>
            <w:tcBorders>
              <w:top w:val="single" w:sz="4" w:space="0" w:color="auto"/>
              <w:left w:val="single" w:sz="4" w:space="0" w:color="auto"/>
              <w:bottom w:val="single" w:sz="4" w:space="0" w:color="auto"/>
              <w:right w:val="single" w:sz="4" w:space="0" w:color="auto"/>
            </w:tcBorders>
          </w:tcPr>
          <w:p w14:paraId="6EF2F3FC" w14:textId="354776BB" w:rsidR="00920983" w:rsidRPr="00BE3924" w:rsidRDefault="00B70759" w:rsidP="00920983">
            <w:pPr>
              <w:spacing w:before="120" w:after="120"/>
              <w:rPr>
                <w:rFonts w:asciiTheme="minorHAnsi" w:eastAsia="Calibri" w:hAnsiTheme="minorHAnsi" w:cstheme="minorHAnsi"/>
                <w:sz w:val="20"/>
                <w:szCs w:val="20"/>
              </w:rPr>
            </w:pPr>
            <w:r w:rsidRPr="00BE3924">
              <w:rPr>
                <w:rFonts w:asciiTheme="minorHAnsi" w:eastAsia="Calibri" w:hAnsiTheme="minorHAnsi" w:cstheme="minorHAnsi"/>
                <w:sz w:val="20"/>
                <w:szCs w:val="20"/>
              </w:rPr>
              <w:t>6.</w:t>
            </w:r>
          </w:p>
        </w:tc>
        <w:tc>
          <w:tcPr>
            <w:tcW w:w="9171" w:type="dxa"/>
            <w:tcBorders>
              <w:top w:val="single" w:sz="4" w:space="0" w:color="auto"/>
              <w:left w:val="single" w:sz="4" w:space="0" w:color="auto"/>
              <w:bottom w:val="single" w:sz="4" w:space="0" w:color="auto"/>
              <w:right w:val="single" w:sz="4" w:space="0" w:color="auto"/>
            </w:tcBorders>
          </w:tcPr>
          <w:p w14:paraId="7986EDD3" w14:textId="18B42B74" w:rsidR="00920983" w:rsidRPr="002B4213" w:rsidRDefault="009E650B" w:rsidP="00920983">
            <w:pPr>
              <w:spacing w:before="120" w:after="120"/>
              <w:ind w:left="-57"/>
              <w:jc w:val="both"/>
              <w:rPr>
                <w:rFonts w:asciiTheme="minorHAnsi" w:eastAsia="Calibri" w:hAnsiTheme="minorHAnsi" w:cstheme="minorHAnsi"/>
                <w:w w:val="105"/>
                <w:sz w:val="20"/>
                <w:szCs w:val="20"/>
              </w:rPr>
            </w:pPr>
            <w:r>
              <w:rPr>
                <w:rFonts w:asciiTheme="minorHAnsi" w:eastAsia="Calibri" w:hAnsiTheme="minorHAnsi" w:cstheme="minorHAnsi"/>
                <w:w w:val="105"/>
                <w:sz w:val="20"/>
                <w:szCs w:val="20"/>
              </w:rPr>
              <w:t>D</w:t>
            </w:r>
            <w:r w:rsidR="00920983" w:rsidRPr="00D903D3">
              <w:rPr>
                <w:rFonts w:asciiTheme="minorHAnsi" w:eastAsia="Calibri" w:hAnsiTheme="minorHAnsi" w:cstheme="minorHAnsi"/>
                <w:w w:val="105"/>
                <w:sz w:val="20"/>
                <w:szCs w:val="20"/>
              </w:rPr>
              <w:t xml:space="preserve">i sottoscrivere, </w:t>
            </w:r>
            <w:r w:rsidR="00920983" w:rsidRPr="000F1979">
              <w:rPr>
                <w:rFonts w:asciiTheme="minorHAnsi" w:eastAsia="Calibri" w:hAnsiTheme="minorHAnsi" w:cstheme="minorHAnsi"/>
                <w:w w:val="105"/>
                <w:sz w:val="20"/>
                <w:szCs w:val="20"/>
              </w:rPr>
              <w:t xml:space="preserve">una volta ultimate con esito positivo, le verifiche circa il possesso dei requisiti </w:t>
            </w:r>
            <w:r w:rsidR="00920983">
              <w:rPr>
                <w:rFonts w:asciiTheme="minorHAnsi" w:eastAsia="Calibri" w:hAnsiTheme="minorHAnsi" w:cstheme="minorHAnsi"/>
                <w:w w:val="105"/>
                <w:sz w:val="20"/>
                <w:szCs w:val="20"/>
              </w:rPr>
              <w:t xml:space="preserve">generali e </w:t>
            </w:r>
            <w:r w:rsidR="00920983" w:rsidRPr="000F1979">
              <w:rPr>
                <w:rFonts w:asciiTheme="minorHAnsi" w:eastAsia="Calibri" w:hAnsiTheme="minorHAnsi" w:cstheme="minorHAnsi"/>
                <w:w w:val="105"/>
                <w:sz w:val="20"/>
                <w:szCs w:val="20"/>
              </w:rPr>
              <w:t>special</w:t>
            </w:r>
            <w:r w:rsidR="00920983">
              <w:rPr>
                <w:rFonts w:asciiTheme="minorHAnsi" w:eastAsia="Calibri" w:hAnsiTheme="minorHAnsi" w:cstheme="minorHAnsi"/>
                <w:w w:val="105"/>
                <w:sz w:val="20"/>
                <w:szCs w:val="20"/>
              </w:rPr>
              <w:t>i</w:t>
            </w:r>
            <w:r w:rsidR="00920983" w:rsidRPr="000F1979">
              <w:rPr>
                <w:rFonts w:asciiTheme="minorHAnsi" w:eastAsia="Calibri" w:hAnsiTheme="minorHAnsi" w:cstheme="minorHAnsi"/>
                <w:w w:val="105"/>
                <w:sz w:val="20"/>
                <w:szCs w:val="20"/>
              </w:rPr>
              <w:t>, ai sensi dell’art. 32, comma 7, del D. Lgs. 18 aprile 2016, n. 50</w:t>
            </w:r>
            <w:r w:rsidR="00920983" w:rsidRPr="00D903D3">
              <w:rPr>
                <w:rFonts w:asciiTheme="minorHAnsi" w:eastAsia="Calibri" w:hAnsiTheme="minorHAnsi" w:cstheme="minorHAnsi"/>
                <w:w w:val="105"/>
                <w:sz w:val="20"/>
                <w:szCs w:val="20"/>
              </w:rPr>
              <w:t>, regolare contratto</w:t>
            </w:r>
            <w:r>
              <w:rPr>
                <w:rFonts w:asciiTheme="minorHAnsi" w:eastAsia="Calibri" w:hAnsiTheme="minorHAnsi" w:cstheme="minorHAnsi"/>
                <w:w w:val="105"/>
                <w:sz w:val="20"/>
                <w:szCs w:val="20"/>
              </w:rPr>
              <w:t>,</w:t>
            </w:r>
            <w:r w:rsidR="00920983">
              <w:rPr>
                <w:rFonts w:asciiTheme="minorHAnsi" w:eastAsia="Calibri" w:hAnsiTheme="minorHAnsi" w:cstheme="minorHAnsi"/>
                <w:w w:val="105"/>
                <w:sz w:val="20"/>
                <w:szCs w:val="20"/>
              </w:rPr>
              <w:t xml:space="preserve"> nei termini di legge</w:t>
            </w:r>
            <w:r>
              <w:rPr>
                <w:rFonts w:asciiTheme="minorHAnsi" w:eastAsia="Calibri" w:hAnsiTheme="minorHAnsi" w:cstheme="minorHAnsi"/>
                <w:w w:val="105"/>
                <w:sz w:val="20"/>
                <w:szCs w:val="20"/>
              </w:rPr>
              <w:t>,</w:t>
            </w:r>
            <w:r w:rsidR="00920983" w:rsidRPr="00D903D3">
              <w:rPr>
                <w:rFonts w:asciiTheme="minorHAnsi" w:eastAsia="Calibri" w:hAnsiTheme="minorHAnsi" w:cstheme="minorHAnsi"/>
                <w:w w:val="105"/>
                <w:sz w:val="20"/>
                <w:szCs w:val="20"/>
              </w:rPr>
              <w:t xml:space="preserve"> con l’operatore economico risultato aggiudicatario;</w:t>
            </w:r>
          </w:p>
        </w:tc>
      </w:tr>
      <w:tr w:rsidR="00920983" w:rsidRPr="002B4213" w14:paraId="126FA946" w14:textId="77777777" w:rsidTr="00BE3924">
        <w:trPr>
          <w:trHeight w:val="690"/>
        </w:trPr>
        <w:tc>
          <w:tcPr>
            <w:tcW w:w="473" w:type="dxa"/>
            <w:tcBorders>
              <w:top w:val="single" w:sz="4" w:space="0" w:color="auto"/>
              <w:left w:val="single" w:sz="4" w:space="0" w:color="auto"/>
              <w:bottom w:val="single" w:sz="4" w:space="0" w:color="auto"/>
              <w:right w:val="single" w:sz="4" w:space="0" w:color="auto"/>
            </w:tcBorders>
          </w:tcPr>
          <w:p w14:paraId="10A26A1F" w14:textId="435A7C82" w:rsidR="00920983" w:rsidRPr="00BE3924" w:rsidRDefault="00B70759" w:rsidP="00920983">
            <w:p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7.</w:t>
            </w:r>
          </w:p>
        </w:tc>
        <w:tc>
          <w:tcPr>
            <w:tcW w:w="9171" w:type="dxa"/>
            <w:tcBorders>
              <w:top w:val="single" w:sz="4" w:space="0" w:color="auto"/>
              <w:left w:val="single" w:sz="4" w:space="0" w:color="auto"/>
              <w:bottom w:val="single" w:sz="4" w:space="0" w:color="auto"/>
              <w:right w:val="single" w:sz="4" w:space="0" w:color="auto"/>
            </w:tcBorders>
          </w:tcPr>
          <w:p w14:paraId="41CDE24E" w14:textId="6D02D35C" w:rsidR="00920983" w:rsidRDefault="009E650B" w:rsidP="00920983">
            <w:pPr>
              <w:spacing w:before="120" w:after="120"/>
              <w:ind w:left="-57"/>
              <w:jc w:val="both"/>
              <w:rPr>
                <w:rFonts w:asciiTheme="minorHAnsi" w:eastAsia="Calibri" w:hAnsiTheme="minorHAnsi" w:cstheme="minorHAnsi"/>
                <w:w w:val="105"/>
                <w:sz w:val="20"/>
                <w:szCs w:val="20"/>
              </w:rPr>
            </w:pPr>
            <w:r>
              <w:rPr>
                <w:rFonts w:asciiTheme="minorHAnsi" w:eastAsia="Calibri" w:hAnsiTheme="minorHAnsi" w:cstheme="minorHAnsi"/>
                <w:w w:val="105"/>
                <w:sz w:val="20"/>
                <w:szCs w:val="20"/>
              </w:rPr>
              <w:t>D</w:t>
            </w:r>
            <w:r w:rsidR="00920983">
              <w:rPr>
                <w:rFonts w:asciiTheme="minorHAnsi" w:eastAsia="Calibri" w:hAnsiTheme="minorHAnsi" w:cstheme="minorHAnsi"/>
                <w:w w:val="105"/>
                <w:sz w:val="20"/>
                <w:szCs w:val="20"/>
              </w:rPr>
              <w:t>i pubblicare copia de</w:t>
            </w:r>
            <w:r w:rsidR="00920983" w:rsidRPr="002B4213">
              <w:rPr>
                <w:rFonts w:asciiTheme="minorHAnsi" w:eastAsia="Calibri" w:hAnsiTheme="minorHAnsi" w:cstheme="minorHAnsi"/>
                <w:w w:val="105"/>
                <w:sz w:val="20"/>
                <w:szCs w:val="20"/>
              </w:rPr>
              <w:t>l presente provvedimento sul sito internet dell’Istituzione Scolastica ai sensi</w:t>
            </w:r>
            <w:r w:rsidR="00920983" w:rsidRPr="002B4213">
              <w:rPr>
                <w:rFonts w:asciiTheme="minorHAnsi" w:eastAsia="Calibri" w:hAnsiTheme="minorHAnsi" w:cstheme="minorHAnsi"/>
                <w:bCs/>
                <w:sz w:val="20"/>
                <w:szCs w:val="20"/>
              </w:rPr>
              <w:t xml:space="preserve"> </w:t>
            </w:r>
            <w:r w:rsidR="00920983">
              <w:rPr>
                <w:rFonts w:asciiTheme="minorHAnsi" w:eastAsia="Calibri" w:hAnsiTheme="minorHAnsi" w:cstheme="minorHAnsi"/>
                <w:sz w:val="20"/>
                <w:szCs w:val="20"/>
              </w:rPr>
              <w:t>dell’A</w:t>
            </w:r>
            <w:r w:rsidR="00920983" w:rsidRPr="002B4213">
              <w:rPr>
                <w:rFonts w:asciiTheme="minorHAnsi" w:eastAsia="Calibri" w:hAnsiTheme="minorHAnsi" w:cstheme="minorHAnsi"/>
                <w:sz w:val="20"/>
                <w:szCs w:val="20"/>
              </w:rPr>
              <w:t>rt.</w:t>
            </w:r>
            <w:r w:rsidR="00920983" w:rsidRPr="002B4213">
              <w:rPr>
                <w:rFonts w:asciiTheme="minorHAnsi" w:hAnsiTheme="minorHAnsi" w:cstheme="minorHAnsi"/>
                <w:sz w:val="20"/>
                <w:szCs w:val="20"/>
              </w:rPr>
              <w:t xml:space="preserve"> 29 del </w:t>
            </w:r>
            <w:r w:rsidR="00920983" w:rsidRPr="002B4213">
              <w:rPr>
                <w:rFonts w:asciiTheme="minorHAnsi" w:eastAsia="Calibri" w:hAnsiTheme="minorHAnsi" w:cstheme="minorHAnsi"/>
                <w:sz w:val="20"/>
                <w:szCs w:val="20"/>
              </w:rPr>
              <w:t>D. Lgs. 18 aprile 2016, n. 50</w:t>
            </w:r>
            <w:r w:rsidR="00920983">
              <w:rPr>
                <w:rFonts w:asciiTheme="minorHAnsi" w:eastAsia="Calibri" w:hAnsiTheme="minorHAnsi" w:cstheme="minorHAnsi"/>
                <w:sz w:val="20"/>
                <w:szCs w:val="20"/>
              </w:rPr>
              <w:t xml:space="preserve"> </w:t>
            </w:r>
            <w:r w:rsidR="00920983" w:rsidRPr="002B4213">
              <w:rPr>
                <w:rFonts w:asciiTheme="minorHAnsi" w:hAnsiTheme="minorHAnsi" w:cstheme="minorHAnsi"/>
                <w:sz w:val="20"/>
                <w:szCs w:val="20"/>
              </w:rPr>
              <w:t>nella sezione</w:t>
            </w:r>
            <w:r w:rsidR="00920983">
              <w:rPr>
                <w:rFonts w:asciiTheme="minorHAnsi" w:hAnsiTheme="minorHAnsi" w:cstheme="minorHAnsi"/>
                <w:sz w:val="20"/>
                <w:szCs w:val="20"/>
              </w:rPr>
              <w:t xml:space="preserve"> </w:t>
            </w:r>
            <w:r w:rsidR="00920983" w:rsidRPr="000F1979">
              <w:rPr>
                <w:rFonts w:asciiTheme="minorHAnsi" w:eastAsia="Calibri" w:hAnsiTheme="minorHAnsi" w:cstheme="minorHAnsi"/>
                <w:bCs/>
                <w:sz w:val="20"/>
                <w:szCs w:val="20"/>
                <w:highlight w:val="cyan"/>
              </w:rPr>
              <w:t>[…]</w:t>
            </w:r>
            <w:r w:rsidR="00920983" w:rsidRPr="002B4213">
              <w:rPr>
                <w:rFonts w:asciiTheme="minorHAnsi" w:hAnsiTheme="minorHAnsi" w:cstheme="minorHAnsi"/>
                <w:sz w:val="20"/>
                <w:szCs w:val="20"/>
              </w:rPr>
              <w:t xml:space="preserve"> </w:t>
            </w:r>
            <w:r w:rsidR="00920983" w:rsidRPr="009E650B">
              <w:rPr>
                <w:rFonts w:asciiTheme="minorHAnsi" w:hAnsiTheme="minorHAnsi" w:cstheme="minorHAnsi"/>
                <w:sz w:val="20"/>
                <w:szCs w:val="20"/>
                <w:highlight w:val="cyan"/>
              </w:rPr>
              <w:t>[</w:t>
            </w:r>
            <w:r w:rsidR="00920983" w:rsidRPr="009E650B">
              <w:rPr>
                <w:rFonts w:asciiTheme="minorHAnsi" w:hAnsiTheme="minorHAnsi" w:cstheme="minorHAnsi"/>
                <w:i/>
                <w:sz w:val="20"/>
                <w:szCs w:val="20"/>
                <w:highlight w:val="cyan"/>
              </w:rPr>
              <w:t>Amministrazione Trasparente</w:t>
            </w:r>
            <w:r w:rsidR="00920983" w:rsidRPr="009E650B">
              <w:rPr>
                <w:rFonts w:asciiTheme="minorHAnsi" w:hAnsiTheme="minorHAnsi" w:cstheme="minorHAnsi"/>
                <w:sz w:val="20"/>
                <w:szCs w:val="20"/>
                <w:highlight w:val="cyan"/>
              </w:rPr>
              <w:t>]</w:t>
            </w:r>
            <w:r w:rsidR="00920983" w:rsidRPr="002B4213">
              <w:rPr>
                <w:rFonts w:asciiTheme="minorHAnsi" w:hAnsiTheme="minorHAnsi" w:cstheme="minorHAnsi"/>
                <w:sz w:val="20"/>
                <w:szCs w:val="20"/>
              </w:rPr>
              <w:t>;</w:t>
            </w:r>
          </w:p>
        </w:tc>
      </w:tr>
      <w:tr w:rsidR="00920983" w:rsidRPr="002B4213" w14:paraId="7C6B461A" w14:textId="77777777" w:rsidTr="00BE3924">
        <w:trPr>
          <w:trHeight w:val="690"/>
        </w:trPr>
        <w:tc>
          <w:tcPr>
            <w:tcW w:w="473" w:type="dxa"/>
            <w:tcBorders>
              <w:top w:val="single" w:sz="4" w:space="0" w:color="auto"/>
              <w:left w:val="single" w:sz="4" w:space="0" w:color="auto"/>
              <w:bottom w:val="single" w:sz="4" w:space="0" w:color="auto"/>
              <w:right w:val="single" w:sz="4" w:space="0" w:color="auto"/>
            </w:tcBorders>
          </w:tcPr>
          <w:p w14:paraId="39A824F0" w14:textId="132B0245" w:rsidR="00920983" w:rsidRPr="00BE3924" w:rsidRDefault="00B70759" w:rsidP="00920983">
            <w:pPr>
              <w:spacing w:before="120" w:after="120"/>
              <w:rPr>
                <w:rFonts w:asciiTheme="minorHAnsi" w:eastAsia="Calibri" w:hAnsiTheme="minorHAnsi" w:cstheme="minorHAnsi"/>
                <w:sz w:val="20"/>
                <w:szCs w:val="20"/>
              </w:rPr>
            </w:pPr>
            <w:r>
              <w:rPr>
                <w:rFonts w:asciiTheme="minorHAnsi" w:eastAsia="Calibri" w:hAnsiTheme="minorHAnsi" w:cstheme="minorHAnsi"/>
                <w:sz w:val="20"/>
                <w:szCs w:val="20"/>
              </w:rPr>
              <w:t>8</w:t>
            </w:r>
            <w:r w:rsidR="00920983" w:rsidRPr="00BE3924">
              <w:rPr>
                <w:rFonts w:asciiTheme="minorHAnsi" w:eastAsia="Calibri" w:hAnsiTheme="minorHAnsi" w:cstheme="minorHAnsi"/>
                <w:sz w:val="20"/>
                <w:szCs w:val="20"/>
              </w:rPr>
              <w:t>.</w:t>
            </w:r>
          </w:p>
        </w:tc>
        <w:tc>
          <w:tcPr>
            <w:tcW w:w="9171" w:type="dxa"/>
            <w:tcBorders>
              <w:top w:val="single" w:sz="4" w:space="0" w:color="auto"/>
              <w:left w:val="single" w:sz="4" w:space="0" w:color="auto"/>
              <w:bottom w:val="single" w:sz="4" w:space="0" w:color="auto"/>
              <w:right w:val="single" w:sz="4" w:space="0" w:color="auto"/>
            </w:tcBorders>
          </w:tcPr>
          <w:p w14:paraId="029DD7C5" w14:textId="46743212" w:rsidR="00920983" w:rsidRPr="00D903D3" w:rsidRDefault="009E650B" w:rsidP="009E650B">
            <w:pPr>
              <w:spacing w:before="120" w:after="120"/>
              <w:ind w:left="-57"/>
              <w:jc w:val="both"/>
              <w:rPr>
                <w:rFonts w:asciiTheme="minorHAnsi" w:eastAsia="Calibri" w:hAnsiTheme="minorHAnsi" w:cstheme="minorHAnsi"/>
                <w:w w:val="105"/>
                <w:sz w:val="20"/>
                <w:szCs w:val="20"/>
              </w:rPr>
            </w:pPr>
            <w:r>
              <w:rPr>
                <w:rFonts w:asciiTheme="minorHAnsi" w:hAnsiTheme="minorHAnsi" w:cstheme="minorHAnsi"/>
                <w:sz w:val="20"/>
                <w:szCs w:val="20"/>
              </w:rPr>
              <w:t xml:space="preserve">Di trasmettere copia del </w:t>
            </w:r>
            <w:r w:rsidR="00920983" w:rsidRPr="002B4213">
              <w:rPr>
                <w:rFonts w:asciiTheme="minorHAnsi" w:hAnsiTheme="minorHAnsi" w:cstheme="minorHAnsi"/>
                <w:sz w:val="20"/>
                <w:szCs w:val="20"/>
              </w:rPr>
              <w:t xml:space="preserve">presente provvedimento </w:t>
            </w:r>
            <w:r>
              <w:rPr>
                <w:rFonts w:asciiTheme="minorHAnsi" w:hAnsiTheme="minorHAnsi" w:cstheme="minorHAnsi"/>
                <w:sz w:val="20"/>
                <w:szCs w:val="20"/>
              </w:rPr>
              <w:t>alla società di intermediazione assicurativa:</w:t>
            </w:r>
            <w:r w:rsidR="00920983" w:rsidRPr="002B4213">
              <w:rPr>
                <w:rFonts w:asciiTheme="minorHAnsi" w:hAnsiTheme="minorHAnsi" w:cstheme="minorHAnsi"/>
                <w:sz w:val="20"/>
                <w:szCs w:val="20"/>
              </w:rPr>
              <w:t xml:space="preserve"> </w:t>
            </w:r>
            <w:r w:rsidR="00920983" w:rsidRPr="002B4213">
              <w:rPr>
                <w:rFonts w:asciiTheme="minorHAnsi" w:eastAsia="Calibri" w:hAnsiTheme="minorHAnsi" w:cstheme="minorHAnsi"/>
                <w:sz w:val="20"/>
                <w:szCs w:val="20"/>
              </w:rPr>
              <w:t>AB-</w:t>
            </w:r>
            <w:r>
              <w:rPr>
                <w:rFonts w:asciiTheme="minorHAnsi" w:eastAsia="Calibri" w:hAnsiTheme="minorHAnsi" w:cstheme="minorHAnsi"/>
                <w:sz w:val="20"/>
                <w:szCs w:val="20"/>
              </w:rPr>
              <w:t>I</w:t>
            </w:r>
            <w:r w:rsidRPr="002B4213">
              <w:rPr>
                <w:rFonts w:asciiTheme="minorHAnsi" w:eastAsia="Calibri" w:hAnsiTheme="minorHAnsi" w:cstheme="minorHAnsi"/>
                <w:sz w:val="20"/>
                <w:szCs w:val="20"/>
              </w:rPr>
              <w:t>nternational srl</w:t>
            </w:r>
            <w:r w:rsidR="00920983" w:rsidRPr="002B4213">
              <w:rPr>
                <w:rFonts w:asciiTheme="minorHAnsi" w:eastAsia="Calibri" w:hAnsiTheme="minorHAnsi" w:cstheme="minorHAnsi"/>
                <w:sz w:val="20"/>
                <w:szCs w:val="20"/>
              </w:rPr>
              <w:t>, per gli adempimenti previsti</w:t>
            </w:r>
            <w:r w:rsidR="007F21F9">
              <w:rPr>
                <w:rFonts w:asciiTheme="minorHAnsi" w:eastAsia="Calibri" w:hAnsiTheme="minorHAnsi" w:cstheme="minorHAnsi"/>
                <w:sz w:val="20"/>
                <w:szCs w:val="20"/>
              </w:rPr>
              <w:t xml:space="preserve"> dal </w:t>
            </w:r>
            <w:r w:rsidR="007F21F9" w:rsidRPr="007F21F9">
              <w:rPr>
                <w:rFonts w:asciiTheme="minorHAnsi" w:eastAsia="Calibri" w:hAnsiTheme="minorHAnsi" w:cstheme="minorHAnsi"/>
                <w:sz w:val="20"/>
                <w:szCs w:val="20"/>
              </w:rPr>
              <w:t xml:space="preserve">mandato di </w:t>
            </w:r>
            <w:r w:rsidR="00261708">
              <w:rPr>
                <w:rFonts w:asciiTheme="minorHAnsi" w:eastAsia="Calibri" w:hAnsiTheme="minorHAnsi" w:cstheme="minorHAnsi"/>
                <w:sz w:val="20"/>
                <w:szCs w:val="20"/>
              </w:rPr>
              <w:t>brokeraggio</w:t>
            </w:r>
            <w:r w:rsidR="00920983" w:rsidRPr="002B4213">
              <w:rPr>
                <w:rFonts w:asciiTheme="minorHAnsi" w:eastAsia="Calibri" w:hAnsiTheme="minorHAnsi" w:cstheme="minorHAnsi"/>
                <w:sz w:val="20"/>
                <w:szCs w:val="20"/>
              </w:rPr>
              <w:t xml:space="preserve"> </w:t>
            </w:r>
            <w:r w:rsidR="00A462F6">
              <w:rPr>
                <w:rFonts w:asciiTheme="minorHAnsi" w:eastAsia="Calibri" w:hAnsiTheme="minorHAnsi" w:cstheme="minorHAnsi"/>
                <w:sz w:val="20"/>
                <w:szCs w:val="20"/>
              </w:rPr>
              <w:t>intercorrente</w:t>
            </w:r>
            <w:r w:rsidR="00920983" w:rsidRPr="002B4213">
              <w:rPr>
                <w:rFonts w:asciiTheme="minorHAnsi" w:eastAsia="Calibri" w:hAnsiTheme="minorHAnsi" w:cstheme="minorHAnsi"/>
                <w:sz w:val="20"/>
                <w:szCs w:val="20"/>
              </w:rPr>
              <w:t>.</w:t>
            </w:r>
          </w:p>
        </w:tc>
      </w:tr>
    </w:tbl>
    <w:tbl>
      <w:tblPr>
        <w:tblStyle w:val="Grigliatabell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9"/>
        <w:gridCol w:w="4843"/>
      </w:tblGrid>
      <w:tr w:rsidR="000C73BA" w:rsidRPr="002B4213" w14:paraId="6464F523" w14:textId="77777777" w:rsidTr="00905423">
        <w:tc>
          <w:tcPr>
            <w:tcW w:w="4829" w:type="dxa"/>
          </w:tcPr>
          <w:p w14:paraId="700EC0F1" w14:textId="77777777" w:rsidR="000C73BA" w:rsidRPr="002B4213" w:rsidRDefault="000C73BA" w:rsidP="00C97F71">
            <w:pPr>
              <w:pStyle w:val="Paragrafoelenco"/>
              <w:suppressAutoHyphens/>
              <w:spacing w:before="120" w:after="120"/>
              <w:ind w:left="0"/>
              <w:jc w:val="both"/>
              <w:rPr>
                <w:rFonts w:asciiTheme="minorHAnsi" w:eastAsia="Calibri" w:hAnsiTheme="minorHAnsi" w:cstheme="minorHAnsi"/>
                <w:bCs/>
                <w:sz w:val="20"/>
                <w:szCs w:val="20"/>
              </w:rPr>
            </w:pPr>
          </w:p>
        </w:tc>
        <w:tc>
          <w:tcPr>
            <w:tcW w:w="4843" w:type="dxa"/>
          </w:tcPr>
          <w:p w14:paraId="21C1A4FA" w14:textId="77777777" w:rsidR="00905423" w:rsidRDefault="00905423" w:rsidP="000C73BA">
            <w:pPr>
              <w:spacing w:before="120" w:after="120"/>
              <w:jc w:val="center"/>
              <w:rPr>
                <w:rFonts w:asciiTheme="minorHAnsi" w:eastAsia="Times New Roman" w:hAnsiTheme="minorHAnsi" w:cstheme="minorHAnsi"/>
                <w:b/>
                <w:bCs/>
                <w:sz w:val="20"/>
                <w:szCs w:val="20"/>
                <w:lang w:eastAsia="it-IT"/>
              </w:rPr>
            </w:pPr>
          </w:p>
          <w:p w14:paraId="6AEB3608" w14:textId="3057576C" w:rsidR="000C73BA" w:rsidRPr="002B4213" w:rsidRDefault="000C73BA" w:rsidP="000C73BA">
            <w:pPr>
              <w:spacing w:before="120" w:after="120"/>
              <w:jc w:val="center"/>
              <w:rPr>
                <w:rFonts w:asciiTheme="minorHAnsi" w:eastAsia="Times New Roman" w:hAnsiTheme="minorHAnsi" w:cstheme="minorHAnsi"/>
                <w:b/>
                <w:bCs/>
                <w:sz w:val="20"/>
                <w:szCs w:val="20"/>
                <w:lang w:eastAsia="it-IT"/>
              </w:rPr>
            </w:pPr>
            <w:r w:rsidRPr="002B4213">
              <w:rPr>
                <w:rFonts w:asciiTheme="minorHAnsi" w:eastAsia="Times New Roman" w:hAnsiTheme="minorHAnsi" w:cstheme="minorHAnsi"/>
                <w:b/>
                <w:bCs/>
                <w:sz w:val="20"/>
                <w:szCs w:val="20"/>
                <w:lang w:eastAsia="it-IT"/>
              </w:rPr>
              <w:t>IL DIRIGENTE SCOLASTICO</w:t>
            </w:r>
          </w:p>
          <w:p w14:paraId="010CD571" w14:textId="5C84BCBA" w:rsidR="000C73BA" w:rsidRPr="002B4213" w:rsidRDefault="000C73BA" w:rsidP="000C73BA">
            <w:pPr>
              <w:pStyle w:val="Paragrafoelenco"/>
              <w:suppressAutoHyphens/>
              <w:spacing w:before="120" w:after="120"/>
              <w:ind w:left="0"/>
              <w:jc w:val="center"/>
              <w:rPr>
                <w:rFonts w:asciiTheme="minorHAnsi" w:eastAsia="Calibri" w:hAnsiTheme="minorHAnsi" w:cstheme="minorHAnsi"/>
                <w:bCs/>
                <w:sz w:val="20"/>
                <w:szCs w:val="20"/>
              </w:rPr>
            </w:pPr>
            <w:r w:rsidRPr="009E650B">
              <w:rPr>
                <w:rFonts w:asciiTheme="minorHAnsi" w:eastAsia="Times New Roman" w:hAnsiTheme="minorHAnsi" w:cstheme="minorHAnsi"/>
                <w:b/>
                <w:bCs/>
                <w:sz w:val="20"/>
                <w:szCs w:val="20"/>
                <w:highlight w:val="cyan"/>
                <w:lang w:eastAsia="it-IT"/>
              </w:rPr>
              <w:t>[…]</w:t>
            </w:r>
          </w:p>
        </w:tc>
      </w:tr>
    </w:tbl>
    <w:p w14:paraId="6ADC576E" w14:textId="77777777" w:rsidR="00C97F71" w:rsidRPr="002B4213" w:rsidRDefault="00C97F71" w:rsidP="00C97F71">
      <w:pPr>
        <w:pStyle w:val="Paragrafoelenco"/>
        <w:suppressAutoHyphens/>
        <w:spacing w:before="120" w:after="120"/>
        <w:jc w:val="both"/>
        <w:rPr>
          <w:rFonts w:asciiTheme="minorHAnsi" w:eastAsia="Calibri" w:hAnsiTheme="minorHAnsi" w:cstheme="minorHAnsi"/>
          <w:bCs/>
          <w:sz w:val="20"/>
          <w:szCs w:val="20"/>
        </w:rPr>
      </w:pPr>
    </w:p>
    <w:p w14:paraId="29DDD57C" w14:textId="794F1BD2" w:rsidR="00C2246E" w:rsidRPr="00C2246E" w:rsidRDefault="00C2246E" w:rsidP="00C2246E">
      <w:pPr>
        <w:spacing w:before="120" w:after="120"/>
        <w:ind w:left="7080" w:firstLine="708"/>
        <w:jc w:val="center"/>
        <w:rPr>
          <w:rFonts w:ascii="Calibri" w:eastAsia="Times New Roman" w:hAnsi="Calibri" w:cs="Calibri"/>
          <w:b/>
          <w:bCs/>
          <w:lang w:eastAsia="it-IT"/>
        </w:rPr>
      </w:pPr>
    </w:p>
    <w:sectPr w:rsidR="00C2246E" w:rsidRPr="00C2246E" w:rsidSect="00AB3F88">
      <w:headerReference w:type="even" r:id="rId10"/>
      <w:headerReference w:type="default" r:id="rId11"/>
      <w:footerReference w:type="even" r:id="rId12"/>
      <w:footerReference w:type="default" r:id="rId13"/>
      <w:headerReference w:type="first" r:id="rId14"/>
      <w:footerReference w:type="first" r:id="rId15"/>
      <w:pgSz w:w="11906" w:h="16838"/>
      <w:pgMar w:top="1418" w:right="1134" w:bottom="1134"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FE20A" w14:textId="77777777" w:rsidR="00E6359F" w:rsidRDefault="00E6359F" w:rsidP="00A329A4">
      <w:r>
        <w:separator/>
      </w:r>
    </w:p>
  </w:endnote>
  <w:endnote w:type="continuationSeparator" w:id="0">
    <w:p w14:paraId="4F5FE20E" w14:textId="77777777" w:rsidR="00E6359F" w:rsidRDefault="00E6359F" w:rsidP="00A3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ED2C4" w14:textId="77777777" w:rsidR="00AB3F88" w:rsidRDefault="00AB3F8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597086370"/>
      <w:docPartObj>
        <w:docPartGallery w:val="Page Numbers (Bottom of Page)"/>
        <w:docPartUnique/>
      </w:docPartObj>
    </w:sdtPr>
    <w:sdtEndPr>
      <w:rPr>
        <w:rFonts w:asciiTheme="minorHAnsi" w:hAnsiTheme="minorHAnsi"/>
      </w:rPr>
    </w:sdtEndPr>
    <w:sdtContent>
      <w:p w14:paraId="0AAE478D" w14:textId="0DE232E2" w:rsidR="001B07FA" w:rsidRPr="00C96EDC" w:rsidRDefault="00C23A5E">
        <w:pPr>
          <w:pStyle w:val="Pidipagina"/>
          <w:jc w:val="right"/>
          <w:rPr>
            <w:rFonts w:asciiTheme="minorHAnsi" w:hAnsiTheme="minorHAnsi"/>
            <w:sz w:val="20"/>
            <w:szCs w:val="20"/>
          </w:rPr>
        </w:pPr>
        <w:r w:rsidRPr="00C96EDC">
          <w:rPr>
            <w:rFonts w:asciiTheme="minorHAnsi" w:hAnsiTheme="minorHAnsi"/>
            <w:sz w:val="20"/>
            <w:szCs w:val="20"/>
          </w:rPr>
          <w:t xml:space="preserve">pag. </w:t>
        </w:r>
        <w:r w:rsidR="001B07FA" w:rsidRPr="00C96EDC">
          <w:rPr>
            <w:rFonts w:asciiTheme="minorHAnsi" w:hAnsiTheme="minorHAnsi"/>
            <w:sz w:val="20"/>
            <w:szCs w:val="20"/>
          </w:rPr>
          <w:fldChar w:fldCharType="begin"/>
        </w:r>
        <w:r w:rsidR="001B07FA" w:rsidRPr="00C96EDC">
          <w:rPr>
            <w:rFonts w:asciiTheme="minorHAnsi" w:hAnsiTheme="minorHAnsi"/>
            <w:sz w:val="20"/>
            <w:szCs w:val="20"/>
          </w:rPr>
          <w:instrText>PAGE   \* MERGEFORMAT</w:instrText>
        </w:r>
        <w:r w:rsidR="001B07FA" w:rsidRPr="00C96EDC">
          <w:rPr>
            <w:rFonts w:asciiTheme="minorHAnsi" w:hAnsiTheme="minorHAnsi"/>
            <w:sz w:val="20"/>
            <w:szCs w:val="20"/>
          </w:rPr>
          <w:fldChar w:fldCharType="separate"/>
        </w:r>
        <w:r w:rsidR="00B70759">
          <w:rPr>
            <w:rFonts w:asciiTheme="minorHAnsi" w:hAnsiTheme="minorHAnsi"/>
            <w:noProof/>
            <w:sz w:val="20"/>
            <w:szCs w:val="20"/>
          </w:rPr>
          <w:t>5</w:t>
        </w:r>
        <w:r w:rsidR="001B07FA" w:rsidRPr="00C96EDC">
          <w:rPr>
            <w:rFonts w:asciiTheme="minorHAnsi" w:hAnsiTheme="minorHAnsi"/>
            <w:sz w:val="20"/>
            <w:szCs w:val="20"/>
          </w:rPr>
          <w:fldChar w:fldCharType="end"/>
        </w:r>
        <w:r w:rsidRPr="00C96EDC">
          <w:rPr>
            <w:rFonts w:asciiTheme="minorHAnsi" w:hAnsiTheme="minorHAnsi"/>
            <w:sz w:val="20"/>
            <w:szCs w:val="20"/>
          </w:rPr>
          <w:t xml:space="preserve"> di </w:t>
        </w:r>
        <w:r w:rsidR="00AB3F88">
          <w:rPr>
            <w:rFonts w:asciiTheme="minorHAnsi" w:hAnsiTheme="minorHAnsi"/>
            <w:sz w:val="20"/>
            <w:szCs w:val="20"/>
          </w:rPr>
          <w:t>5</w:t>
        </w:r>
      </w:p>
    </w:sdtContent>
  </w:sdt>
  <w:p w14:paraId="5AFB9462" w14:textId="77777777" w:rsidR="001B07FA" w:rsidRDefault="001B07F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74483015"/>
      <w:docPartObj>
        <w:docPartGallery w:val="Page Numbers (Bottom of Page)"/>
        <w:docPartUnique/>
      </w:docPartObj>
    </w:sdtPr>
    <w:sdtEndPr>
      <w:rPr>
        <w:rFonts w:asciiTheme="minorHAnsi" w:hAnsiTheme="minorHAnsi"/>
      </w:rPr>
    </w:sdtEndPr>
    <w:sdtContent>
      <w:p w14:paraId="4E7BCE4C" w14:textId="2220F0E4" w:rsidR="00C96EDC" w:rsidRPr="00C96EDC" w:rsidRDefault="00C96EDC" w:rsidP="00C96EDC">
        <w:pPr>
          <w:pStyle w:val="Pidipagina"/>
          <w:jc w:val="right"/>
          <w:rPr>
            <w:rFonts w:asciiTheme="minorHAnsi" w:hAnsiTheme="minorHAnsi"/>
            <w:sz w:val="20"/>
            <w:szCs w:val="20"/>
          </w:rPr>
        </w:pPr>
        <w:r w:rsidRPr="00C96EDC">
          <w:rPr>
            <w:rFonts w:asciiTheme="minorHAnsi" w:hAnsiTheme="minorHAnsi"/>
            <w:sz w:val="20"/>
            <w:szCs w:val="20"/>
          </w:rPr>
          <w:t xml:space="preserve">pag. </w:t>
        </w:r>
        <w:r w:rsidRPr="00C96EDC">
          <w:rPr>
            <w:rFonts w:asciiTheme="minorHAnsi" w:hAnsiTheme="minorHAnsi"/>
            <w:sz w:val="20"/>
            <w:szCs w:val="20"/>
          </w:rPr>
          <w:fldChar w:fldCharType="begin"/>
        </w:r>
        <w:r w:rsidRPr="00C96EDC">
          <w:rPr>
            <w:rFonts w:asciiTheme="minorHAnsi" w:hAnsiTheme="minorHAnsi"/>
            <w:sz w:val="20"/>
            <w:szCs w:val="20"/>
          </w:rPr>
          <w:instrText>PAGE   \* MERGEFORMAT</w:instrText>
        </w:r>
        <w:r w:rsidRPr="00C96EDC">
          <w:rPr>
            <w:rFonts w:asciiTheme="minorHAnsi" w:hAnsiTheme="minorHAnsi"/>
            <w:sz w:val="20"/>
            <w:szCs w:val="20"/>
          </w:rPr>
          <w:fldChar w:fldCharType="separate"/>
        </w:r>
        <w:r w:rsidR="005C5FF4">
          <w:rPr>
            <w:rFonts w:asciiTheme="minorHAnsi" w:hAnsiTheme="minorHAnsi"/>
            <w:noProof/>
            <w:sz w:val="20"/>
            <w:szCs w:val="20"/>
          </w:rPr>
          <w:t>1</w:t>
        </w:r>
        <w:r w:rsidRPr="00C96EDC">
          <w:rPr>
            <w:rFonts w:asciiTheme="minorHAnsi" w:hAnsiTheme="minorHAnsi"/>
            <w:sz w:val="20"/>
            <w:szCs w:val="20"/>
          </w:rPr>
          <w:fldChar w:fldCharType="end"/>
        </w:r>
        <w:r w:rsidRPr="00C96EDC">
          <w:rPr>
            <w:rFonts w:asciiTheme="minorHAnsi" w:hAnsiTheme="minorHAnsi"/>
            <w:sz w:val="20"/>
            <w:szCs w:val="20"/>
          </w:rPr>
          <w:t xml:space="preserve"> di </w:t>
        </w:r>
        <w:r w:rsidR="00AB3F88">
          <w:rPr>
            <w:rFonts w:asciiTheme="minorHAnsi" w:hAnsiTheme="minorHAnsi"/>
            <w:sz w:val="20"/>
            <w:szCs w:val="20"/>
          </w:rPr>
          <w:t>5</w:t>
        </w:r>
      </w:p>
    </w:sdtContent>
  </w:sdt>
  <w:p w14:paraId="529599DA" w14:textId="77777777" w:rsidR="00C96EDC" w:rsidRDefault="00C96ED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8A89E" w14:textId="77777777" w:rsidR="00E6359F" w:rsidRDefault="00E6359F" w:rsidP="00A329A4">
      <w:r>
        <w:separator/>
      </w:r>
    </w:p>
  </w:footnote>
  <w:footnote w:type="continuationSeparator" w:id="0">
    <w:p w14:paraId="1D5B9D32" w14:textId="77777777" w:rsidR="00E6359F" w:rsidRDefault="00E6359F" w:rsidP="00A32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3C1A2" w14:textId="77777777" w:rsidR="00AB3F88" w:rsidRDefault="00AB3F8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5AE8D" w14:textId="77777777" w:rsidR="00AB3F88" w:rsidRDefault="00AB3F8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0A1EE" w14:textId="77777777" w:rsidR="00A8501C" w:rsidRPr="00920983" w:rsidRDefault="00A8501C" w:rsidP="00A8501C">
    <w:pPr>
      <w:tabs>
        <w:tab w:val="center" w:pos="4819"/>
        <w:tab w:val="right" w:pos="9638"/>
      </w:tabs>
      <w:jc w:val="center"/>
      <w:rPr>
        <w:rFonts w:ascii="Calibri" w:eastAsia="Calibri" w:hAnsi="Calibri" w:cs="Times New Roman"/>
        <w:b/>
        <w:color w:val="808080"/>
        <w:sz w:val="36"/>
        <w:szCs w:val="36"/>
      </w:rPr>
    </w:pPr>
    <w:r w:rsidRPr="00920983">
      <w:rPr>
        <w:rFonts w:ascii="Calibri" w:eastAsia="Calibri" w:hAnsi="Calibri" w:cs="Times New Roman"/>
        <w:b/>
        <w:color w:val="808080"/>
        <w:sz w:val="36"/>
        <w:szCs w:val="36"/>
      </w:rPr>
      <w:t>CARTA INTESTATA DELL’ISTITUTO SCOLASTICO</w:t>
    </w:r>
  </w:p>
  <w:p w14:paraId="6BB7ECCB" w14:textId="02E2FBE4" w:rsidR="00C23A5E" w:rsidRPr="00920983" w:rsidRDefault="00C23A5E" w:rsidP="00A8501C">
    <w:pPr>
      <w:tabs>
        <w:tab w:val="center" w:pos="4819"/>
        <w:tab w:val="right" w:pos="9638"/>
      </w:tabs>
      <w:jc w:val="center"/>
      <w:rPr>
        <w:rFonts w:ascii="Calibri" w:eastAsia="Calibri" w:hAnsi="Calibri" w:cs="Times New Roman"/>
        <w:b/>
        <w:i/>
        <w:color w:val="808080"/>
        <w:sz w:val="36"/>
        <w:szCs w:val="36"/>
      </w:rPr>
    </w:pPr>
    <w:r w:rsidRPr="00920983">
      <w:rPr>
        <w:rFonts w:ascii="Calibri" w:eastAsia="Calibri" w:hAnsi="Calibri" w:cs="Times New Roman"/>
        <w:b/>
        <w:i/>
        <w:color w:val="808080"/>
        <w:sz w:val="36"/>
        <w:szCs w:val="36"/>
      </w:rPr>
      <w:t xml:space="preserve">Determina di </w:t>
    </w:r>
    <w:r w:rsidR="004F51E6">
      <w:rPr>
        <w:rFonts w:ascii="Calibri" w:eastAsia="Calibri" w:hAnsi="Calibri" w:cs="Times New Roman"/>
        <w:b/>
        <w:i/>
        <w:color w:val="808080"/>
        <w:sz w:val="36"/>
        <w:szCs w:val="36"/>
      </w:rPr>
      <w:t>aggiudicazione</w:t>
    </w:r>
    <w:r w:rsidRPr="00920983">
      <w:rPr>
        <w:rFonts w:ascii="Calibri" w:eastAsia="Calibri" w:hAnsi="Calibri" w:cs="Times New Roman"/>
        <w:b/>
        <w:i/>
        <w:color w:val="808080"/>
        <w:sz w:val="36"/>
        <w:szCs w:val="36"/>
      </w:rPr>
      <w:t xml:space="preserve"> dei servizi assicurativi </w:t>
    </w:r>
  </w:p>
  <w:p w14:paraId="4460E37B" w14:textId="77777777" w:rsidR="0018012C" w:rsidRDefault="0018012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7B6B"/>
    <w:multiLevelType w:val="hybridMultilevel"/>
    <w:tmpl w:val="181C40A6"/>
    <w:lvl w:ilvl="0" w:tplc="7B108628">
      <w:start w:val="1"/>
      <w:numFmt w:val="bullet"/>
      <w:lvlText w:val="-"/>
      <w:lvlJc w:val="left"/>
      <w:pPr>
        <w:ind w:left="720" w:hanging="360"/>
      </w:pPr>
      <w:rPr>
        <w:rFonts w:ascii="Calibr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start w:val="1"/>
      <w:numFmt w:val="bullet"/>
      <w:lvlText w:val="o"/>
      <w:lvlJc w:val="left"/>
      <w:pPr>
        <w:ind w:left="2103" w:hanging="360"/>
      </w:pPr>
      <w:rPr>
        <w:rFonts w:ascii="Courier New" w:hAnsi="Courier New" w:cs="Courier New" w:hint="default"/>
      </w:rPr>
    </w:lvl>
    <w:lvl w:ilvl="2" w:tplc="04100005">
      <w:start w:val="1"/>
      <w:numFmt w:val="bullet"/>
      <w:lvlText w:val=""/>
      <w:lvlJc w:val="left"/>
      <w:pPr>
        <w:ind w:left="2823" w:hanging="360"/>
      </w:pPr>
      <w:rPr>
        <w:rFonts w:ascii="Wingdings" w:hAnsi="Wingdings" w:hint="default"/>
      </w:rPr>
    </w:lvl>
    <w:lvl w:ilvl="3" w:tplc="04100001">
      <w:start w:val="1"/>
      <w:numFmt w:val="bullet"/>
      <w:lvlText w:val=""/>
      <w:lvlJc w:val="left"/>
      <w:pPr>
        <w:ind w:left="3543" w:hanging="360"/>
      </w:pPr>
      <w:rPr>
        <w:rFonts w:ascii="Symbol" w:hAnsi="Symbol" w:hint="default"/>
      </w:rPr>
    </w:lvl>
    <w:lvl w:ilvl="4" w:tplc="04100003">
      <w:start w:val="1"/>
      <w:numFmt w:val="bullet"/>
      <w:lvlText w:val="o"/>
      <w:lvlJc w:val="left"/>
      <w:pPr>
        <w:ind w:left="4263" w:hanging="360"/>
      </w:pPr>
      <w:rPr>
        <w:rFonts w:ascii="Courier New" w:hAnsi="Courier New" w:cs="Courier New" w:hint="default"/>
      </w:rPr>
    </w:lvl>
    <w:lvl w:ilvl="5" w:tplc="04100005">
      <w:start w:val="1"/>
      <w:numFmt w:val="bullet"/>
      <w:lvlText w:val=""/>
      <w:lvlJc w:val="left"/>
      <w:pPr>
        <w:ind w:left="4983" w:hanging="360"/>
      </w:pPr>
      <w:rPr>
        <w:rFonts w:ascii="Wingdings" w:hAnsi="Wingdings" w:hint="default"/>
      </w:rPr>
    </w:lvl>
    <w:lvl w:ilvl="6" w:tplc="04100001">
      <w:start w:val="1"/>
      <w:numFmt w:val="bullet"/>
      <w:lvlText w:val=""/>
      <w:lvlJc w:val="left"/>
      <w:pPr>
        <w:ind w:left="5703" w:hanging="360"/>
      </w:pPr>
      <w:rPr>
        <w:rFonts w:ascii="Symbol" w:hAnsi="Symbol" w:hint="default"/>
      </w:rPr>
    </w:lvl>
    <w:lvl w:ilvl="7" w:tplc="04100003">
      <w:start w:val="1"/>
      <w:numFmt w:val="bullet"/>
      <w:lvlText w:val="o"/>
      <w:lvlJc w:val="left"/>
      <w:pPr>
        <w:ind w:left="6423" w:hanging="360"/>
      </w:pPr>
      <w:rPr>
        <w:rFonts w:ascii="Courier New" w:hAnsi="Courier New" w:cs="Courier New" w:hint="default"/>
      </w:rPr>
    </w:lvl>
    <w:lvl w:ilvl="8" w:tplc="04100005">
      <w:start w:val="1"/>
      <w:numFmt w:val="bullet"/>
      <w:lvlText w:val=""/>
      <w:lvlJc w:val="left"/>
      <w:pPr>
        <w:ind w:left="7143" w:hanging="360"/>
      </w:pPr>
      <w:rPr>
        <w:rFonts w:ascii="Wingdings" w:hAnsi="Wingdings" w:hint="default"/>
      </w:rPr>
    </w:lvl>
  </w:abstractNum>
  <w:abstractNum w:abstractNumId="3"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5" w15:restartNumberingAfterBreak="0">
    <w:nsid w:val="1A4327EB"/>
    <w:multiLevelType w:val="hybridMultilevel"/>
    <w:tmpl w:val="452E8C0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7" w15:restartNumberingAfterBreak="0">
    <w:nsid w:val="1E263FAF"/>
    <w:multiLevelType w:val="hybridMultilevel"/>
    <w:tmpl w:val="22AA5F24"/>
    <w:lvl w:ilvl="0" w:tplc="E1A88350">
      <w:numFmt w:val="bullet"/>
      <w:lvlText w:val="-"/>
      <w:lvlJc w:val="left"/>
      <w:pPr>
        <w:ind w:left="720" w:hanging="360"/>
      </w:pPr>
      <w:rPr>
        <w:rFonts w:ascii="Calibri" w:eastAsia="Times New Roman"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8E1263"/>
    <w:multiLevelType w:val="hybridMultilevel"/>
    <w:tmpl w:val="01CAF30C"/>
    <w:lvl w:ilvl="0" w:tplc="A998B3B6">
      <w:numFmt w:val="bullet"/>
      <w:lvlText w:val="•"/>
      <w:lvlJc w:val="left"/>
      <w:pPr>
        <w:ind w:left="708" w:hanging="765"/>
      </w:pPr>
      <w:rPr>
        <w:rFonts w:ascii="Calibri" w:eastAsia="Calibri" w:hAnsi="Calibri" w:cs="Calibri" w:hint="default"/>
      </w:rPr>
    </w:lvl>
    <w:lvl w:ilvl="1" w:tplc="04100003" w:tentative="1">
      <w:start w:val="1"/>
      <w:numFmt w:val="bullet"/>
      <w:lvlText w:val="o"/>
      <w:lvlJc w:val="left"/>
      <w:pPr>
        <w:ind w:left="1023" w:hanging="360"/>
      </w:pPr>
      <w:rPr>
        <w:rFonts w:ascii="Courier New" w:hAnsi="Courier New" w:cs="Courier New" w:hint="default"/>
      </w:rPr>
    </w:lvl>
    <w:lvl w:ilvl="2" w:tplc="04100005" w:tentative="1">
      <w:start w:val="1"/>
      <w:numFmt w:val="bullet"/>
      <w:lvlText w:val=""/>
      <w:lvlJc w:val="left"/>
      <w:pPr>
        <w:ind w:left="1743" w:hanging="360"/>
      </w:pPr>
      <w:rPr>
        <w:rFonts w:ascii="Wingdings" w:hAnsi="Wingdings" w:hint="default"/>
      </w:rPr>
    </w:lvl>
    <w:lvl w:ilvl="3" w:tplc="04100001" w:tentative="1">
      <w:start w:val="1"/>
      <w:numFmt w:val="bullet"/>
      <w:lvlText w:val=""/>
      <w:lvlJc w:val="left"/>
      <w:pPr>
        <w:ind w:left="2463" w:hanging="360"/>
      </w:pPr>
      <w:rPr>
        <w:rFonts w:ascii="Symbol" w:hAnsi="Symbol" w:hint="default"/>
      </w:rPr>
    </w:lvl>
    <w:lvl w:ilvl="4" w:tplc="04100003" w:tentative="1">
      <w:start w:val="1"/>
      <w:numFmt w:val="bullet"/>
      <w:lvlText w:val="o"/>
      <w:lvlJc w:val="left"/>
      <w:pPr>
        <w:ind w:left="3183" w:hanging="360"/>
      </w:pPr>
      <w:rPr>
        <w:rFonts w:ascii="Courier New" w:hAnsi="Courier New" w:cs="Courier New" w:hint="default"/>
      </w:rPr>
    </w:lvl>
    <w:lvl w:ilvl="5" w:tplc="04100005" w:tentative="1">
      <w:start w:val="1"/>
      <w:numFmt w:val="bullet"/>
      <w:lvlText w:val=""/>
      <w:lvlJc w:val="left"/>
      <w:pPr>
        <w:ind w:left="3903" w:hanging="360"/>
      </w:pPr>
      <w:rPr>
        <w:rFonts w:ascii="Wingdings" w:hAnsi="Wingdings" w:hint="default"/>
      </w:rPr>
    </w:lvl>
    <w:lvl w:ilvl="6" w:tplc="04100001" w:tentative="1">
      <w:start w:val="1"/>
      <w:numFmt w:val="bullet"/>
      <w:lvlText w:val=""/>
      <w:lvlJc w:val="left"/>
      <w:pPr>
        <w:ind w:left="4623" w:hanging="360"/>
      </w:pPr>
      <w:rPr>
        <w:rFonts w:ascii="Symbol" w:hAnsi="Symbol" w:hint="default"/>
      </w:rPr>
    </w:lvl>
    <w:lvl w:ilvl="7" w:tplc="04100003" w:tentative="1">
      <w:start w:val="1"/>
      <w:numFmt w:val="bullet"/>
      <w:lvlText w:val="o"/>
      <w:lvlJc w:val="left"/>
      <w:pPr>
        <w:ind w:left="5343" w:hanging="360"/>
      </w:pPr>
      <w:rPr>
        <w:rFonts w:ascii="Courier New" w:hAnsi="Courier New" w:cs="Courier New" w:hint="default"/>
      </w:rPr>
    </w:lvl>
    <w:lvl w:ilvl="8" w:tplc="04100005" w:tentative="1">
      <w:start w:val="1"/>
      <w:numFmt w:val="bullet"/>
      <w:lvlText w:val=""/>
      <w:lvlJc w:val="left"/>
      <w:pPr>
        <w:ind w:left="6063" w:hanging="360"/>
      </w:pPr>
      <w:rPr>
        <w:rFonts w:ascii="Wingdings" w:hAnsi="Wingdings" w:hint="default"/>
      </w:rPr>
    </w:lvl>
  </w:abstractNum>
  <w:abstractNum w:abstractNumId="9" w15:restartNumberingAfterBreak="0">
    <w:nsid w:val="26937E4E"/>
    <w:multiLevelType w:val="hybridMultilevel"/>
    <w:tmpl w:val="79B8E66A"/>
    <w:lvl w:ilvl="0" w:tplc="6012037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3B7D6955"/>
    <w:multiLevelType w:val="hybridMultilevel"/>
    <w:tmpl w:val="35FEDF8C"/>
    <w:lvl w:ilvl="0" w:tplc="DD06E380">
      <w:numFmt w:val="bullet"/>
      <w:lvlText w:val="•"/>
      <w:lvlJc w:val="left"/>
      <w:pPr>
        <w:ind w:left="303" w:hanging="360"/>
      </w:pPr>
      <w:rPr>
        <w:rFonts w:ascii="Calibri" w:eastAsia="Calibri" w:hAnsi="Calibri" w:cs="Calibri" w:hint="default"/>
      </w:rPr>
    </w:lvl>
    <w:lvl w:ilvl="1" w:tplc="04100003" w:tentative="1">
      <w:start w:val="1"/>
      <w:numFmt w:val="bullet"/>
      <w:lvlText w:val="o"/>
      <w:lvlJc w:val="left"/>
      <w:pPr>
        <w:ind w:left="1023" w:hanging="360"/>
      </w:pPr>
      <w:rPr>
        <w:rFonts w:ascii="Courier New" w:hAnsi="Courier New" w:cs="Courier New" w:hint="default"/>
      </w:rPr>
    </w:lvl>
    <w:lvl w:ilvl="2" w:tplc="04100005" w:tentative="1">
      <w:start w:val="1"/>
      <w:numFmt w:val="bullet"/>
      <w:lvlText w:val=""/>
      <w:lvlJc w:val="left"/>
      <w:pPr>
        <w:ind w:left="1743" w:hanging="360"/>
      </w:pPr>
      <w:rPr>
        <w:rFonts w:ascii="Wingdings" w:hAnsi="Wingdings" w:hint="default"/>
      </w:rPr>
    </w:lvl>
    <w:lvl w:ilvl="3" w:tplc="04100001" w:tentative="1">
      <w:start w:val="1"/>
      <w:numFmt w:val="bullet"/>
      <w:lvlText w:val=""/>
      <w:lvlJc w:val="left"/>
      <w:pPr>
        <w:ind w:left="2463" w:hanging="360"/>
      </w:pPr>
      <w:rPr>
        <w:rFonts w:ascii="Symbol" w:hAnsi="Symbol" w:hint="default"/>
      </w:rPr>
    </w:lvl>
    <w:lvl w:ilvl="4" w:tplc="04100003" w:tentative="1">
      <w:start w:val="1"/>
      <w:numFmt w:val="bullet"/>
      <w:lvlText w:val="o"/>
      <w:lvlJc w:val="left"/>
      <w:pPr>
        <w:ind w:left="3183" w:hanging="360"/>
      </w:pPr>
      <w:rPr>
        <w:rFonts w:ascii="Courier New" w:hAnsi="Courier New" w:cs="Courier New" w:hint="default"/>
      </w:rPr>
    </w:lvl>
    <w:lvl w:ilvl="5" w:tplc="04100005" w:tentative="1">
      <w:start w:val="1"/>
      <w:numFmt w:val="bullet"/>
      <w:lvlText w:val=""/>
      <w:lvlJc w:val="left"/>
      <w:pPr>
        <w:ind w:left="3903" w:hanging="360"/>
      </w:pPr>
      <w:rPr>
        <w:rFonts w:ascii="Wingdings" w:hAnsi="Wingdings" w:hint="default"/>
      </w:rPr>
    </w:lvl>
    <w:lvl w:ilvl="6" w:tplc="04100001" w:tentative="1">
      <w:start w:val="1"/>
      <w:numFmt w:val="bullet"/>
      <w:lvlText w:val=""/>
      <w:lvlJc w:val="left"/>
      <w:pPr>
        <w:ind w:left="4623" w:hanging="360"/>
      </w:pPr>
      <w:rPr>
        <w:rFonts w:ascii="Symbol" w:hAnsi="Symbol" w:hint="default"/>
      </w:rPr>
    </w:lvl>
    <w:lvl w:ilvl="7" w:tplc="04100003" w:tentative="1">
      <w:start w:val="1"/>
      <w:numFmt w:val="bullet"/>
      <w:lvlText w:val="o"/>
      <w:lvlJc w:val="left"/>
      <w:pPr>
        <w:ind w:left="5343" w:hanging="360"/>
      </w:pPr>
      <w:rPr>
        <w:rFonts w:ascii="Courier New" w:hAnsi="Courier New" w:cs="Courier New" w:hint="default"/>
      </w:rPr>
    </w:lvl>
    <w:lvl w:ilvl="8" w:tplc="04100005" w:tentative="1">
      <w:start w:val="1"/>
      <w:numFmt w:val="bullet"/>
      <w:lvlText w:val=""/>
      <w:lvlJc w:val="left"/>
      <w:pPr>
        <w:ind w:left="6063" w:hanging="360"/>
      </w:pPr>
      <w:rPr>
        <w:rFonts w:ascii="Wingdings" w:hAnsi="Wingdings" w:hint="default"/>
      </w:rPr>
    </w:lvl>
  </w:abstractNum>
  <w:abstractNum w:abstractNumId="12" w15:restartNumberingAfterBreak="0">
    <w:nsid w:val="3EB57079"/>
    <w:multiLevelType w:val="hybridMultilevel"/>
    <w:tmpl w:val="9FF042D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8C32795"/>
    <w:multiLevelType w:val="hybridMultilevel"/>
    <w:tmpl w:val="518AAD32"/>
    <w:lvl w:ilvl="0" w:tplc="04100001">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4" w15:restartNumberingAfterBreak="0">
    <w:nsid w:val="54626FCF"/>
    <w:multiLevelType w:val="hybridMultilevel"/>
    <w:tmpl w:val="65BC4386"/>
    <w:lvl w:ilvl="0" w:tplc="7B10862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774400A"/>
    <w:multiLevelType w:val="hybridMultilevel"/>
    <w:tmpl w:val="02A4ADF4"/>
    <w:lvl w:ilvl="0" w:tplc="0756D52E">
      <w:start w:val="1"/>
      <w:numFmt w:val="decimal"/>
      <w:lvlText w:val="%1."/>
      <w:lvlJc w:val="left"/>
      <w:pPr>
        <w:ind w:left="720" w:hanging="360"/>
      </w:pPr>
      <w:rPr>
        <w:rFonts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F">
      <w:start w:val="1"/>
      <w:numFmt w:val="decimal"/>
      <w:lvlText w:val="%4."/>
      <w:lvlJc w:val="left"/>
      <w:pPr>
        <w:ind w:left="2880" w:hanging="360"/>
      </w:pPr>
      <w:rPr>
        <w:rFont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EBD4440"/>
    <w:multiLevelType w:val="hybridMultilevel"/>
    <w:tmpl w:val="313AFA0C"/>
    <w:lvl w:ilvl="0" w:tplc="25FA5F48">
      <w:start w:val="1"/>
      <w:numFmt w:val="decimal"/>
      <w:lvlText w:val="%1."/>
      <w:lvlJc w:val="left"/>
      <w:pPr>
        <w:ind w:left="663" w:hanging="360"/>
      </w:pPr>
      <w:rPr>
        <w:b w:val="0"/>
      </w:rPr>
    </w:lvl>
    <w:lvl w:ilvl="1" w:tplc="04100019" w:tentative="1">
      <w:start w:val="1"/>
      <w:numFmt w:val="lowerLetter"/>
      <w:lvlText w:val="%2."/>
      <w:lvlJc w:val="left"/>
      <w:pPr>
        <w:ind w:left="1383" w:hanging="360"/>
      </w:pPr>
    </w:lvl>
    <w:lvl w:ilvl="2" w:tplc="0410001B" w:tentative="1">
      <w:start w:val="1"/>
      <w:numFmt w:val="lowerRoman"/>
      <w:lvlText w:val="%3."/>
      <w:lvlJc w:val="right"/>
      <w:pPr>
        <w:ind w:left="2103" w:hanging="180"/>
      </w:pPr>
    </w:lvl>
    <w:lvl w:ilvl="3" w:tplc="0410000F" w:tentative="1">
      <w:start w:val="1"/>
      <w:numFmt w:val="decimal"/>
      <w:lvlText w:val="%4."/>
      <w:lvlJc w:val="left"/>
      <w:pPr>
        <w:ind w:left="2823" w:hanging="360"/>
      </w:pPr>
    </w:lvl>
    <w:lvl w:ilvl="4" w:tplc="04100019" w:tentative="1">
      <w:start w:val="1"/>
      <w:numFmt w:val="lowerLetter"/>
      <w:lvlText w:val="%5."/>
      <w:lvlJc w:val="left"/>
      <w:pPr>
        <w:ind w:left="3543" w:hanging="360"/>
      </w:pPr>
    </w:lvl>
    <w:lvl w:ilvl="5" w:tplc="0410001B" w:tentative="1">
      <w:start w:val="1"/>
      <w:numFmt w:val="lowerRoman"/>
      <w:lvlText w:val="%6."/>
      <w:lvlJc w:val="right"/>
      <w:pPr>
        <w:ind w:left="4263" w:hanging="180"/>
      </w:pPr>
    </w:lvl>
    <w:lvl w:ilvl="6" w:tplc="0410000F" w:tentative="1">
      <w:start w:val="1"/>
      <w:numFmt w:val="decimal"/>
      <w:lvlText w:val="%7."/>
      <w:lvlJc w:val="left"/>
      <w:pPr>
        <w:ind w:left="4983" w:hanging="360"/>
      </w:pPr>
    </w:lvl>
    <w:lvl w:ilvl="7" w:tplc="04100019" w:tentative="1">
      <w:start w:val="1"/>
      <w:numFmt w:val="lowerLetter"/>
      <w:lvlText w:val="%8."/>
      <w:lvlJc w:val="left"/>
      <w:pPr>
        <w:ind w:left="5703" w:hanging="360"/>
      </w:pPr>
    </w:lvl>
    <w:lvl w:ilvl="8" w:tplc="0410001B" w:tentative="1">
      <w:start w:val="1"/>
      <w:numFmt w:val="lowerRoman"/>
      <w:lvlText w:val="%9."/>
      <w:lvlJc w:val="right"/>
      <w:pPr>
        <w:ind w:left="6423" w:hanging="180"/>
      </w:pPr>
    </w:lvl>
  </w:abstractNum>
  <w:abstractNum w:abstractNumId="17" w15:restartNumberingAfterBreak="0">
    <w:nsid w:val="66E47D26"/>
    <w:multiLevelType w:val="hybridMultilevel"/>
    <w:tmpl w:val="1EBA1F7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start w:val="1"/>
      <w:numFmt w:val="bullet"/>
      <w:lvlText w:val="o"/>
      <w:lvlJc w:val="left"/>
      <w:pPr>
        <w:ind w:left="1383" w:hanging="360"/>
      </w:pPr>
      <w:rPr>
        <w:rFonts w:ascii="Courier New" w:hAnsi="Courier New" w:cs="Courier New" w:hint="default"/>
      </w:rPr>
    </w:lvl>
    <w:lvl w:ilvl="2" w:tplc="04100005">
      <w:start w:val="1"/>
      <w:numFmt w:val="bullet"/>
      <w:lvlText w:val=""/>
      <w:lvlJc w:val="left"/>
      <w:pPr>
        <w:ind w:left="2103" w:hanging="360"/>
      </w:pPr>
      <w:rPr>
        <w:rFonts w:ascii="Wingdings" w:hAnsi="Wingdings" w:hint="default"/>
      </w:rPr>
    </w:lvl>
    <w:lvl w:ilvl="3" w:tplc="04100001">
      <w:start w:val="1"/>
      <w:numFmt w:val="bullet"/>
      <w:lvlText w:val=""/>
      <w:lvlJc w:val="left"/>
      <w:pPr>
        <w:ind w:left="2823" w:hanging="360"/>
      </w:pPr>
      <w:rPr>
        <w:rFonts w:ascii="Symbol" w:hAnsi="Symbol" w:hint="default"/>
      </w:rPr>
    </w:lvl>
    <w:lvl w:ilvl="4" w:tplc="04100003">
      <w:start w:val="1"/>
      <w:numFmt w:val="bullet"/>
      <w:lvlText w:val="o"/>
      <w:lvlJc w:val="left"/>
      <w:pPr>
        <w:ind w:left="3543" w:hanging="360"/>
      </w:pPr>
      <w:rPr>
        <w:rFonts w:ascii="Courier New" w:hAnsi="Courier New" w:cs="Courier New" w:hint="default"/>
      </w:rPr>
    </w:lvl>
    <w:lvl w:ilvl="5" w:tplc="04100005">
      <w:start w:val="1"/>
      <w:numFmt w:val="bullet"/>
      <w:lvlText w:val=""/>
      <w:lvlJc w:val="left"/>
      <w:pPr>
        <w:ind w:left="4263" w:hanging="360"/>
      </w:pPr>
      <w:rPr>
        <w:rFonts w:ascii="Wingdings" w:hAnsi="Wingdings" w:hint="default"/>
      </w:rPr>
    </w:lvl>
    <w:lvl w:ilvl="6" w:tplc="04100001">
      <w:start w:val="1"/>
      <w:numFmt w:val="bullet"/>
      <w:lvlText w:val=""/>
      <w:lvlJc w:val="left"/>
      <w:pPr>
        <w:ind w:left="4983" w:hanging="360"/>
      </w:pPr>
      <w:rPr>
        <w:rFonts w:ascii="Symbol" w:hAnsi="Symbol" w:hint="default"/>
      </w:rPr>
    </w:lvl>
    <w:lvl w:ilvl="7" w:tplc="04100003">
      <w:start w:val="1"/>
      <w:numFmt w:val="bullet"/>
      <w:lvlText w:val="o"/>
      <w:lvlJc w:val="left"/>
      <w:pPr>
        <w:ind w:left="5703" w:hanging="360"/>
      </w:pPr>
      <w:rPr>
        <w:rFonts w:ascii="Courier New" w:hAnsi="Courier New" w:cs="Courier New" w:hint="default"/>
      </w:rPr>
    </w:lvl>
    <w:lvl w:ilvl="8" w:tplc="04100005">
      <w:start w:val="1"/>
      <w:numFmt w:val="bullet"/>
      <w:lvlText w:val=""/>
      <w:lvlJc w:val="left"/>
      <w:pPr>
        <w:ind w:left="6423" w:hanging="360"/>
      </w:pPr>
      <w:rPr>
        <w:rFonts w:ascii="Wingdings" w:hAnsi="Wingdings" w:hint="default"/>
      </w:rPr>
    </w:lvl>
  </w:abstractNum>
  <w:abstractNum w:abstractNumId="19"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79B96EAE"/>
    <w:multiLevelType w:val="hybridMultilevel"/>
    <w:tmpl w:val="95FA2134"/>
    <w:lvl w:ilvl="0" w:tplc="7B108628">
      <w:start w:val="1"/>
      <w:numFmt w:val="bullet"/>
      <w:lvlText w:val="-"/>
      <w:lvlJc w:val="left"/>
      <w:pPr>
        <w:ind w:left="663" w:hanging="360"/>
      </w:pPr>
      <w:rPr>
        <w:rFonts w:ascii="Calibri" w:hAnsi="Calibri"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1" w15:restartNumberingAfterBreak="0">
    <w:nsid w:val="7F0369FF"/>
    <w:multiLevelType w:val="hybridMultilevel"/>
    <w:tmpl w:val="644AFD28"/>
    <w:lvl w:ilvl="0" w:tplc="04100001">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num w:numId="1">
    <w:abstractNumId w:val="18"/>
  </w:num>
  <w:num w:numId="2">
    <w:abstractNumId w:val="4"/>
  </w:num>
  <w:num w:numId="3">
    <w:abstractNumId w:val="1"/>
  </w:num>
  <w:num w:numId="4">
    <w:abstractNumId w:val="3"/>
  </w:num>
  <w:num w:numId="5">
    <w:abstractNumId w:val="6"/>
  </w:num>
  <w:num w:numId="6">
    <w:abstractNumId w:val="2"/>
  </w:num>
  <w:num w:numId="7">
    <w:abstractNumId w:val="10"/>
  </w:num>
  <w:num w:numId="8">
    <w:abstractNumId w:val="12"/>
  </w:num>
  <w:num w:numId="9">
    <w:abstractNumId w:val="19"/>
  </w:num>
  <w:num w:numId="10">
    <w:abstractNumId w:val="21"/>
  </w:num>
  <w:num w:numId="11">
    <w:abstractNumId w:val="11"/>
  </w:num>
  <w:num w:numId="12">
    <w:abstractNumId w:val="17"/>
  </w:num>
  <w:num w:numId="13">
    <w:abstractNumId w:val="13"/>
  </w:num>
  <w:num w:numId="14">
    <w:abstractNumId w:val="8"/>
  </w:num>
  <w:num w:numId="15">
    <w:abstractNumId w:val="7"/>
  </w:num>
  <w:num w:numId="16">
    <w:abstractNumId w:val="9"/>
  </w:num>
  <w:num w:numId="17">
    <w:abstractNumId w:val="15"/>
  </w:num>
  <w:num w:numId="18">
    <w:abstractNumId w:val="5"/>
  </w:num>
  <w:num w:numId="19">
    <w:abstractNumId w:val="16"/>
  </w:num>
  <w:num w:numId="20">
    <w:abstractNumId w:val="14"/>
  </w:num>
  <w:num w:numId="21">
    <w:abstractNumId w:val="0"/>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46E"/>
    <w:rsid w:val="00007467"/>
    <w:rsid w:val="00020C32"/>
    <w:rsid w:val="0003149F"/>
    <w:rsid w:val="00037C63"/>
    <w:rsid w:val="000439EF"/>
    <w:rsid w:val="00052CA9"/>
    <w:rsid w:val="000768BF"/>
    <w:rsid w:val="0008397B"/>
    <w:rsid w:val="00085549"/>
    <w:rsid w:val="000A05A3"/>
    <w:rsid w:val="000B095A"/>
    <w:rsid w:val="000B4FA9"/>
    <w:rsid w:val="000B56D7"/>
    <w:rsid w:val="000B583D"/>
    <w:rsid w:val="000B7032"/>
    <w:rsid w:val="000C73BA"/>
    <w:rsid w:val="000F1723"/>
    <w:rsid w:val="001131F5"/>
    <w:rsid w:val="001142CF"/>
    <w:rsid w:val="00154C67"/>
    <w:rsid w:val="00155150"/>
    <w:rsid w:val="001706C1"/>
    <w:rsid w:val="00176CDD"/>
    <w:rsid w:val="0018012C"/>
    <w:rsid w:val="00181111"/>
    <w:rsid w:val="00182F90"/>
    <w:rsid w:val="00184C8D"/>
    <w:rsid w:val="001B074D"/>
    <w:rsid w:val="001B07FA"/>
    <w:rsid w:val="001D038C"/>
    <w:rsid w:val="001D469A"/>
    <w:rsid w:val="001E388B"/>
    <w:rsid w:val="001E4D7E"/>
    <w:rsid w:val="001E53D9"/>
    <w:rsid w:val="001E7341"/>
    <w:rsid w:val="00203C33"/>
    <w:rsid w:val="00206D64"/>
    <w:rsid w:val="00207142"/>
    <w:rsid w:val="0021511C"/>
    <w:rsid w:val="00216037"/>
    <w:rsid w:val="00236742"/>
    <w:rsid w:val="0024087A"/>
    <w:rsid w:val="00244C05"/>
    <w:rsid w:val="00251B33"/>
    <w:rsid w:val="00261316"/>
    <w:rsid w:val="00261708"/>
    <w:rsid w:val="00276504"/>
    <w:rsid w:val="00277353"/>
    <w:rsid w:val="002872DB"/>
    <w:rsid w:val="00287E30"/>
    <w:rsid w:val="0029216B"/>
    <w:rsid w:val="002974C3"/>
    <w:rsid w:val="002A3181"/>
    <w:rsid w:val="002A4C7B"/>
    <w:rsid w:val="002A5B13"/>
    <w:rsid w:val="002A6335"/>
    <w:rsid w:val="002B4213"/>
    <w:rsid w:val="002C6D75"/>
    <w:rsid w:val="002C7E84"/>
    <w:rsid w:val="002D6113"/>
    <w:rsid w:val="002D6F77"/>
    <w:rsid w:val="002E0F6D"/>
    <w:rsid w:val="002E1044"/>
    <w:rsid w:val="002E6DF7"/>
    <w:rsid w:val="002F1161"/>
    <w:rsid w:val="002F3A36"/>
    <w:rsid w:val="00302CC2"/>
    <w:rsid w:val="00307B4D"/>
    <w:rsid w:val="00312575"/>
    <w:rsid w:val="00313FAA"/>
    <w:rsid w:val="0032365C"/>
    <w:rsid w:val="00323FE0"/>
    <w:rsid w:val="0033704C"/>
    <w:rsid w:val="00343845"/>
    <w:rsid w:val="00345417"/>
    <w:rsid w:val="003501DD"/>
    <w:rsid w:val="00353E89"/>
    <w:rsid w:val="00356D88"/>
    <w:rsid w:val="00364143"/>
    <w:rsid w:val="0036646E"/>
    <w:rsid w:val="003762E5"/>
    <w:rsid w:val="00384A45"/>
    <w:rsid w:val="00392D3B"/>
    <w:rsid w:val="003A01DE"/>
    <w:rsid w:val="003A4F60"/>
    <w:rsid w:val="003B7A09"/>
    <w:rsid w:val="003C4142"/>
    <w:rsid w:val="003C7F28"/>
    <w:rsid w:val="003D4393"/>
    <w:rsid w:val="00431A8A"/>
    <w:rsid w:val="004404F0"/>
    <w:rsid w:val="00440C2F"/>
    <w:rsid w:val="004522B2"/>
    <w:rsid w:val="004540B0"/>
    <w:rsid w:val="00463B40"/>
    <w:rsid w:val="00482050"/>
    <w:rsid w:val="004947B5"/>
    <w:rsid w:val="0049653C"/>
    <w:rsid w:val="00496C69"/>
    <w:rsid w:val="004A22AC"/>
    <w:rsid w:val="004A5A1E"/>
    <w:rsid w:val="004D0E57"/>
    <w:rsid w:val="004D1DA7"/>
    <w:rsid w:val="004D2419"/>
    <w:rsid w:val="004D51E3"/>
    <w:rsid w:val="004F51E6"/>
    <w:rsid w:val="004F6656"/>
    <w:rsid w:val="0050368D"/>
    <w:rsid w:val="0050388E"/>
    <w:rsid w:val="00506EA2"/>
    <w:rsid w:val="00510B3F"/>
    <w:rsid w:val="0051189E"/>
    <w:rsid w:val="0053321A"/>
    <w:rsid w:val="00571A43"/>
    <w:rsid w:val="0058351E"/>
    <w:rsid w:val="0059184A"/>
    <w:rsid w:val="005B57D0"/>
    <w:rsid w:val="005C33DE"/>
    <w:rsid w:val="005C3BFE"/>
    <w:rsid w:val="005C5FF4"/>
    <w:rsid w:val="005D2ECE"/>
    <w:rsid w:val="005D3E66"/>
    <w:rsid w:val="005D63E0"/>
    <w:rsid w:val="005E116D"/>
    <w:rsid w:val="005E12BF"/>
    <w:rsid w:val="005F7A21"/>
    <w:rsid w:val="00613A95"/>
    <w:rsid w:val="00613E18"/>
    <w:rsid w:val="006173CD"/>
    <w:rsid w:val="00621DD0"/>
    <w:rsid w:val="00642481"/>
    <w:rsid w:val="00652AAD"/>
    <w:rsid w:val="00662403"/>
    <w:rsid w:val="006643F0"/>
    <w:rsid w:val="00672743"/>
    <w:rsid w:val="00675FA1"/>
    <w:rsid w:val="00684E30"/>
    <w:rsid w:val="00691EF8"/>
    <w:rsid w:val="006A06E8"/>
    <w:rsid w:val="006A5495"/>
    <w:rsid w:val="006A7C34"/>
    <w:rsid w:val="006B4143"/>
    <w:rsid w:val="006B630B"/>
    <w:rsid w:val="006D5709"/>
    <w:rsid w:val="006F7A57"/>
    <w:rsid w:val="0070607A"/>
    <w:rsid w:val="007102A8"/>
    <w:rsid w:val="00724E43"/>
    <w:rsid w:val="00725905"/>
    <w:rsid w:val="00731928"/>
    <w:rsid w:val="007323B8"/>
    <w:rsid w:val="0073615A"/>
    <w:rsid w:val="00736385"/>
    <w:rsid w:val="007363E4"/>
    <w:rsid w:val="007A1844"/>
    <w:rsid w:val="007A189D"/>
    <w:rsid w:val="007B1144"/>
    <w:rsid w:val="007B3728"/>
    <w:rsid w:val="007B7FC2"/>
    <w:rsid w:val="007C4ED4"/>
    <w:rsid w:val="007D3CE6"/>
    <w:rsid w:val="007D4698"/>
    <w:rsid w:val="007D6881"/>
    <w:rsid w:val="007E3AEF"/>
    <w:rsid w:val="007F160A"/>
    <w:rsid w:val="007F21F9"/>
    <w:rsid w:val="007F3D34"/>
    <w:rsid w:val="0080382F"/>
    <w:rsid w:val="008216F8"/>
    <w:rsid w:val="008275D2"/>
    <w:rsid w:val="0083456A"/>
    <w:rsid w:val="00841829"/>
    <w:rsid w:val="00851F89"/>
    <w:rsid w:val="008759E8"/>
    <w:rsid w:val="00883ABE"/>
    <w:rsid w:val="0088783B"/>
    <w:rsid w:val="00887E7B"/>
    <w:rsid w:val="0089079C"/>
    <w:rsid w:val="008B55D6"/>
    <w:rsid w:val="008C5C47"/>
    <w:rsid w:val="008C5F44"/>
    <w:rsid w:val="008D2435"/>
    <w:rsid w:val="008D6674"/>
    <w:rsid w:val="008D6F7B"/>
    <w:rsid w:val="008D7887"/>
    <w:rsid w:val="008E35E3"/>
    <w:rsid w:val="008F7A31"/>
    <w:rsid w:val="00901536"/>
    <w:rsid w:val="00905423"/>
    <w:rsid w:val="0090544D"/>
    <w:rsid w:val="0090723D"/>
    <w:rsid w:val="00920983"/>
    <w:rsid w:val="009230A5"/>
    <w:rsid w:val="00924EAB"/>
    <w:rsid w:val="00931F23"/>
    <w:rsid w:val="00940B12"/>
    <w:rsid w:val="00942C63"/>
    <w:rsid w:val="00942FD0"/>
    <w:rsid w:val="009532A2"/>
    <w:rsid w:val="009630D8"/>
    <w:rsid w:val="00964251"/>
    <w:rsid w:val="009739C1"/>
    <w:rsid w:val="00976626"/>
    <w:rsid w:val="0099417A"/>
    <w:rsid w:val="00994767"/>
    <w:rsid w:val="009974B4"/>
    <w:rsid w:val="009A6002"/>
    <w:rsid w:val="009C4A10"/>
    <w:rsid w:val="009C7987"/>
    <w:rsid w:val="009E650B"/>
    <w:rsid w:val="009E6A16"/>
    <w:rsid w:val="009F1095"/>
    <w:rsid w:val="009F2E90"/>
    <w:rsid w:val="00A02309"/>
    <w:rsid w:val="00A10BDC"/>
    <w:rsid w:val="00A205AB"/>
    <w:rsid w:val="00A2213A"/>
    <w:rsid w:val="00A2778F"/>
    <w:rsid w:val="00A329A4"/>
    <w:rsid w:val="00A34256"/>
    <w:rsid w:val="00A462F6"/>
    <w:rsid w:val="00A54E8E"/>
    <w:rsid w:val="00A5789D"/>
    <w:rsid w:val="00A64E43"/>
    <w:rsid w:val="00A8179E"/>
    <w:rsid w:val="00A8501C"/>
    <w:rsid w:val="00A87F4D"/>
    <w:rsid w:val="00A9264C"/>
    <w:rsid w:val="00AA48F3"/>
    <w:rsid w:val="00AB3386"/>
    <w:rsid w:val="00AB3F88"/>
    <w:rsid w:val="00AB6BD8"/>
    <w:rsid w:val="00AC025E"/>
    <w:rsid w:val="00AD10C7"/>
    <w:rsid w:val="00AD51AC"/>
    <w:rsid w:val="00AD6EF4"/>
    <w:rsid w:val="00AF0071"/>
    <w:rsid w:val="00B030E8"/>
    <w:rsid w:val="00B20A75"/>
    <w:rsid w:val="00B27505"/>
    <w:rsid w:val="00B34F90"/>
    <w:rsid w:val="00B35E78"/>
    <w:rsid w:val="00B37045"/>
    <w:rsid w:val="00B42177"/>
    <w:rsid w:val="00B50885"/>
    <w:rsid w:val="00B5134C"/>
    <w:rsid w:val="00B53CA4"/>
    <w:rsid w:val="00B605F8"/>
    <w:rsid w:val="00B621A4"/>
    <w:rsid w:val="00B70759"/>
    <w:rsid w:val="00B84D69"/>
    <w:rsid w:val="00B86DF7"/>
    <w:rsid w:val="00B879BB"/>
    <w:rsid w:val="00B91C90"/>
    <w:rsid w:val="00B941C3"/>
    <w:rsid w:val="00B96F74"/>
    <w:rsid w:val="00BB74FE"/>
    <w:rsid w:val="00BC56A6"/>
    <w:rsid w:val="00BD1834"/>
    <w:rsid w:val="00BD7C33"/>
    <w:rsid w:val="00BE023A"/>
    <w:rsid w:val="00BE3924"/>
    <w:rsid w:val="00BF4D80"/>
    <w:rsid w:val="00C02CEB"/>
    <w:rsid w:val="00C152DC"/>
    <w:rsid w:val="00C2246E"/>
    <w:rsid w:val="00C22A27"/>
    <w:rsid w:val="00C23A5E"/>
    <w:rsid w:val="00C25213"/>
    <w:rsid w:val="00C26D57"/>
    <w:rsid w:val="00C41443"/>
    <w:rsid w:val="00C43AB4"/>
    <w:rsid w:val="00C43B2A"/>
    <w:rsid w:val="00C546D2"/>
    <w:rsid w:val="00C55D8C"/>
    <w:rsid w:val="00C56904"/>
    <w:rsid w:val="00C56E8F"/>
    <w:rsid w:val="00C61501"/>
    <w:rsid w:val="00C6239A"/>
    <w:rsid w:val="00C62F16"/>
    <w:rsid w:val="00C6330D"/>
    <w:rsid w:val="00C83C4E"/>
    <w:rsid w:val="00C86243"/>
    <w:rsid w:val="00C86573"/>
    <w:rsid w:val="00C90C0A"/>
    <w:rsid w:val="00C929D1"/>
    <w:rsid w:val="00C96EDC"/>
    <w:rsid w:val="00C97F71"/>
    <w:rsid w:val="00CA49D8"/>
    <w:rsid w:val="00CB568E"/>
    <w:rsid w:val="00CC1E89"/>
    <w:rsid w:val="00CC7B51"/>
    <w:rsid w:val="00CD1B24"/>
    <w:rsid w:val="00CD37CF"/>
    <w:rsid w:val="00CD6781"/>
    <w:rsid w:val="00CE2487"/>
    <w:rsid w:val="00CE35BA"/>
    <w:rsid w:val="00CE59EA"/>
    <w:rsid w:val="00CF3A7C"/>
    <w:rsid w:val="00D04A01"/>
    <w:rsid w:val="00D12D89"/>
    <w:rsid w:val="00D25DBF"/>
    <w:rsid w:val="00D26302"/>
    <w:rsid w:val="00D3119D"/>
    <w:rsid w:val="00D31AAD"/>
    <w:rsid w:val="00D4199B"/>
    <w:rsid w:val="00D46A47"/>
    <w:rsid w:val="00D47AD8"/>
    <w:rsid w:val="00D5054B"/>
    <w:rsid w:val="00D67530"/>
    <w:rsid w:val="00D8196E"/>
    <w:rsid w:val="00D8707D"/>
    <w:rsid w:val="00D903D3"/>
    <w:rsid w:val="00D90FD7"/>
    <w:rsid w:val="00D97BA8"/>
    <w:rsid w:val="00DA4AAB"/>
    <w:rsid w:val="00DB5AA2"/>
    <w:rsid w:val="00DB66D3"/>
    <w:rsid w:val="00DC0E74"/>
    <w:rsid w:val="00DC2937"/>
    <w:rsid w:val="00DD2364"/>
    <w:rsid w:val="00DD69FC"/>
    <w:rsid w:val="00E00A92"/>
    <w:rsid w:val="00E17A49"/>
    <w:rsid w:val="00E3280A"/>
    <w:rsid w:val="00E36788"/>
    <w:rsid w:val="00E425CE"/>
    <w:rsid w:val="00E43CCF"/>
    <w:rsid w:val="00E47195"/>
    <w:rsid w:val="00E53CC0"/>
    <w:rsid w:val="00E6083C"/>
    <w:rsid w:val="00E6359F"/>
    <w:rsid w:val="00E734D9"/>
    <w:rsid w:val="00E866D6"/>
    <w:rsid w:val="00E979B6"/>
    <w:rsid w:val="00EA63A4"/>
    <w:rsid w:val="00EC1F01"/>
    <w:rsid w:val="00ED0511"/>
    <w:rsid w:val="00ED0689"/>
    <w:rsid w:val="00EE0112"/>
    <w:rsid w:val="00EF14B0"/>
    <w:rsid w:val="00EF2B5F"/>
    <w:rsid w:val="00EF3411"/>
    <w:rsid w:val="00EF6779"/>
    <w:rsid w:val="00F112A3"/>
    <w:rsid w:val="00F339BE"/>
    <w:rsid w:val="00F54637"/>
    <w:rsid w:val="00F56285"/>
    <w:rsid w:val="00F638CD"/>
    <w:rsid w:val="00F87D86"/>
    <w:rsid w:val="00F9764A"/>
    <w:rsid w:val="00FA1BE9"/>
    <w:rsid w:val="00FA78B2"/>
    <w:rsid w:val="00FB630B"/>
    <w:rsid w:val="00FD63C8"/>
    <w:rsid w:val="00FE3BED"/>
    <w:rsid w:val="00FE43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C66E2"/>
  <w15:docId w15:val="{B6425295-64EC-4BC9-B94F-1BB05C06D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C414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C4142"/>
    <w:rPr>
      <w:rFonts w:ascii="Tahoma" w:hAnsi="Tahoma" w:cs="Tahoma"/>
      <w:sz w:val="16"/>
      <w:szCs w:val="16"/>
    </w:rPr>
  </w:style>
  <w:style w:type="paragraph" w:styleId="Intestazione">
    <w:name w:val="header"/>
    <w:basedOn w:val="Normale"/>
    <w:link w:val="IntestazioneCarattere"/>
    <w:uiPriority w:val="99"/>
    <w:unhideWhenUsed/>
    <w:rsid w:val="00A329A4"/>
    <w:pPr>
      <w:tabs>
        <w:tab w:val="center" w:pos="4819"/>
        <w:tab w:val="right" w:pos="9638"/>
      </w:tabs>
    </w:pPr>
  </w:style>
  <w:style w:type="character" w:customStyle="1" w:styleId="IntestazioneCarattere">
    <w:name w:val="Intestazione Carattere"/>
    <w:basedOn w:val="Carpredefinitoparagrafo"/>
    <w:link w:val="Intestazione"/>
    <w:uiPriority w:val="99"/>
    <w:rsid w:val="00A329A4"/>
  </w:style>
  <w:style w:type="paragraph" w:styleId="Pidipagina">
    <w:name w:val="footer"/>
    <w:basedOn w:val="Normale"/>
    <w:link w:val="PidipaginaCarattere"/>
    <w:uiPriority w:val="99"/>
    <w:unhideWhenUsed/>
    <w:rsid w:val="00A329A4"/>
    <w:pPr>
      <w:tabs>
        <w:tab w:val="center" w:pos="4819"/>
        <w:tab w:val="right" w:pos="9638"/>
      </w:tabs>
    </w:pPr>
  </w:style>
  <w:style w:type="character" w:customStyle="1" w:styleId="PidipaginaCarattere">
    <w:name w:val="Piè di pagina Carattere"/>
    <w:basedOn w:val="Carpredefinitoparagrafo"/>
    <w:link w:val="Pidipagina"/>
    <w:uiPriority w:val="99"/>
    <w:rsid w:val="00A329A4"/>
  </w:style>
  <w:style w:type="table" w:styleId="Grigliatabella">
    <w:name w:val="Table Grid"/>
    <w:basedOn w:val="Tabellanormale"/>
    <w:uiPriority w:val="39"/>
    <w:rsid w:val="00A329A4"/>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102A8"/>
    <w:pPr>
      <w:ind w:left="720"/>
      <w:contextualSpacing/>
    </w:pPr>
  </w:style>
  <w:style w:type="character" w:styleId="Enfasicorsivo">
    <w:name w:val="Emphasis"/>
    <w:basedOn w:val="Carpredefinitoparagrafo"/>
    <w:uiPriority w:val="20"/>
    <w:qFormat/>
    <w:rsid w:val="00BC56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422556">
      <w:bodyDiv w:val="1"/>
      <w:marLeft w:val="0"/>
      <w:marRight w:val="0"/>
      <w:marTop w:val="0"/>
      <w:marBottom w:val="0"/>
      <w:divBdr>
        <w:top w:val="none" w:sz="0" w:space="0" w:color="auto"/>
        <w:left w:val="none" w:sz="0" w:space="0" w:color="auto"/>
        <w:bottom w:val="none" w:sz="0" w:space="0" w:color="auto"/>
        <w:right w:val="none" w:sz="0" w:space="0" w:color="auto"/>
      </w:divBdr>
    </w:div>
    <w:div w:id="189412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J:\010_NORMATIVA_SCOL_VARIE_COD_APP_ANAC_INAIL_AVVOCATURA_ECC\AFFIDAMENTI_PA_DI_129_CODICE_APPALTI_DECRETO_SEMPLIFICAZIONI\DECRETO%20SEMPLIFICAZIONI\2016_0050.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J:\010_NORMATIVA_SCOL_VARIE_COD_APP_ANAC_INAIL_AVVOCATURA_ECC\AFFIDAMENTI_PA_DI_129_CODICE_APPALTI_DECRETO_SEMPLIFICAZIONI\DECRETO%20SEMPLIFICAZIONI\2016_0050.htm"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A4302-4C84-4A0C-8797-EF0945AE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2860</Words>
  <Characters>16308</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Casella</dc:creator>
  <cp:lastModifiedBy>emanuela piazzalunga</cp:lastModifiedBy>
  <cp:revision>17</cp:revision>
  <cp:lastPrinted>2019-05-15T07:40:00Z</cp:lastPrinted>
  <dcterms:created xsi:type="dcterms:W3CDTF">2021-05-03T09:44:00Z</dcterms:created>
  <dcterms:modified xsi:type="dcterms:W3CDTF">2021-08-11T11:11:00Z</dcterms:modified>
</cp:coreProperties>
</file>