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0"/>
        <w:gridCol w:w="7938"/>
      </w:tblGrid>
      <w:tr w:rsidR="00F2088D" w:rsidRPr="00F2088D" w:rsidTr="00E35ED2">
        <w:tc>
          <w:tcPr>
            <w:tcW w:w="1950" w:type="dxa"/>
            <w:shd w:val="clear" w:color="auto" w:fill="auto"/>
          </w:tcPr>
          <w:p w:rsidR="00F2088D" w:rsidRPr="00F2088D" w:rsidRDefault="00F2088D" w:rsidP="00F2088D">
            <w:pPr>
              <w:suppressAutoHyphens/>
              <w:snapToGrid w:val="0"/>
              <w:spacing w:before="60" w:after="60" w:line="240" w:lineRule="auto"/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</w:pPr>
            <w:r w:rsidRPr="00F2088D">
              <w:rPr>
                <w:rFonts w:ascii="Calibri" w:eastAsia="Times New Roman" w:hAnsi="Calibri" w:cs="Times New Roman"/>
                <w:caps/>
                <w:noProof/>
                <w:color w:val="000000"/>
                <w:sz w:val="24"/>
                <w:szCs w:val="20"/>
                <w:lang w:eastAsia="it-IT"/>
              </w:rPr>
              <w:drawing>
                <wp:inline distT="0" distB="0" distL="0" distR="0" wp14:anchorId="32A08EEC" wp14:editId="5497B419">
                  <wp:extent cx="952500" cy="952500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auto"/>
          </w:tcPr>
          <w:p w:rsidR="00F2088D" w:rsidRPr="00F2088D" w:rsidRDefault="00B6269F" w:rsidP="00F2088D">
            <w:pPr>
              <w:tabs>
                <w:tab w:val="left" w:pos="210"/>
                <w:tab w:val="center" w:pos="3862"/>
              </w:tabs>
              <w:suppressAutoHyphens/>
              <w:snapToGrid w:val="0"/>
              <w:spacing w:after="0" w:line="240" w:lineRule="auto"/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</w:pPr>
            <w:r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  <w:tab/>
            </w:r>
            <w:r w:rsidR="00F2088D" w:rsidRPr="00F2088D">
              <w:rPr>
                <w:rFonts w:ascii="Swis721 BdOul BT" w:eastAsia="Times New Roman" w:hAnsi="Swis721 BdOul BT" w:cs="Times New Roman"/>
                <w:b/>
                <w:sz w:val="84"/>
                <w:szCs w:val="20"/>
                <w:lang w:eastAsia="ar-SA"/>
              </w:rPr>
              <w:t>COMUNE di BERZO DEMO</w:t>
            </w: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F2088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Provincia di Brescia</w:t>
            </w: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ar-SA"/>
              </w:rPr>
            </w:pPr>
          </w:p>
          <w:p w:rsidR="00F2088D" w:rsidRPr="00F2088D" w:rsidRDefault="00F2088D" w:rsidP="00F2088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ar-SA"/>
              </w:rPr>
            </w:pPr>
          </w:p>
        </w:tc>
      </w:tr>
      <w:tr w:rsidR="00F2088D" w:rsidRPr="00F2088D" w:rsidTr="00E35ED2">
        <w:trPr>
          <w:trHeight w:val="482"/>
        </w:trPr>
        <w:tc>
          <w:tcPr>
            <w:tcW w:w="9888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F2088D" w:rsidRPr="00F2088D" w:rsidRDefault="00F2088D" w:rsidP="00F2088D">
            <w:pPr>
              <w:suppressAutoHyphens/>
              <w:snapToGrid w:val="0"/>
              <w:spacing w:before="60" w:after="60" w:line="240" w:lineRule="auto"/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</w:pPr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Piazza Donatori di Sangue, 1  CAP 25040 BERZO DEMO - tel.0364/630305 - 62061 - fax 0364/62061  P.ta IVA 00575730981 –       Cod. </w:t>
            </w:r>
            <w:proofErr w:type="spellStart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Fisc</w:t>
            </w:r>
            <w:proofErr w:type="spellEnd"/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>. 00715580171</w:t>
            </w:r>
          </w:p>
          <w:p w:rsidR="00F2088D" w:rsidRPr="00F2088D" w:rsidRDefault="00F2088D" w:rsidP="00F2088D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Posta elettronica: </w:t>
            </w:r>
            <w:hyperlink r:id="rId6" w:history="1">
              <w:r w:rsidRPr="00F2088D">
                <w:rPr>
                  <w:rFonts w:ascii="Arial" w:eastAsia="Times New Roman" w:hAnsi="Arial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info@comune.berzo-demo.bs.it</w:t>
              </w:r>
            </w:hyperlink>
            <w:r w:rsidRPr="00F2088D">
              <w:rPr>
                <w:rFonts w:ascii="Arial" w:eastAsia="Times New Roman" w:hAnsi="Arial" w:cs="Times New Roman"/>
                <w:sz w:val="16"/>
                <w:szCs w:val="20"/>
                <w:lang w:eastAsia="ar-SA"/>
              </w:rPr>
              <w:t xml:space="preserve"> - Sito internet: </w:t>
            </w:r>
            <w:hyperlink r:id="rId7" w:history="1">
              <w:r w:rsidRPr="00F2088D">
                <w:rPr>
                  <w:rFonts w:ascii="Arial" w:eastAsia="Times New Roman" w:hAnsi="Arial" w:cs="Times New Roman"/>
                  <w:color w:val="0000FF"/>
                  <w:sz w:val="24"/>
                  <w:szCs w:val="20"/>
                  <w:u w:val="single"/>
                  <w:lang w:eastAsia="ar-SA"/>
                </w:rPr>
                <w:t>www.comune.berzo-demo.bs.it</w:t>
              </w:r>
            </w:hyperlink>
          </w:p>
        </w:tc>
      </w:tr>
    </w:tbl>
    <w:p w:rsidR="00F2088D" w:rsidRPr="00F2088D" w:rsidRDefault="00F2088D" w:rsidP="00F2088D">
      <w:pPr>
        <w:spacing w:after="360" w:line="240" w:lineRule="auto"/>
        <w:jc w:val="center"/>
        <w:rPr>
          <w:rFonts w:ascii="Palatino Linotype" w:eastAsia="Times New Roman" w:hAnsi="Palatino Linotype" w:cs="Arial"/>
          <w:sz w:val="40"/>
          <w:szCs w:val="24"/>
          <w:lang w:eastAsia="it-IT"/>
        </w:rPr>
      </w:pPr>
    </w:p>
    <w:p w:rsidR="00F2088D" w:rsidRPr="00F2088D" w:rsidRDefault="00F2088D" w:rsidP="00F2088D">
      <w:pP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</w:p>
    <w:p w:rsidR="00F2088D" w:rsidRPr="00F2088D" w:rsidRDefault="00F2088D" w:rsidP="00F2088D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</w:p>
    <w:p w:rsidR="00F2088D" w:rsidRDefault="00F2088D" w:rsidP="00F2088D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0"/>
          <w:szCs w:val="24"/>
          <w:lang w:eastAsia="it-IT"/>
        </w:rPr>
      </w:pPr>
      <w:r w:rsidRPr="00F2088D">
        <w:rPr>
          <w:rFonts w:ascii="Palatino Linotype" w:eastAsia="Times New Roman" w:hAnsi="Palatino Linotype" w:cs="Arial"/>
          <w:b/>
          <w:sz w:val="40"/>
          <w:szCs w:val="24"/>
          <w:lang w:eastAsia="it-IT"/>
        </w:rPr>
        <w:t>PARERE DELL’ORGANO DI REVISIONE</w:t>
      </w:r>
    </w:p>
    <w:p w:rsidR="002E1518" w:rsidRPr="002E1518" w:rsidRDefault="002E1518" w:rsidP="002E1518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b/>
          <w:sz w:val="44"/>
          <w:szCs w:val="24"/>
          <w:lang w:eastAsia="it-IT"/>
        </w:rPr>
      </w:pPr>
      <w:r w:rsidRPr="00F2088D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BILANCIO DI PRE</w:t>
      </w: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VISIONE 20</w:t>
      </w:r>
      <w:r w:rsidR="0007624C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</w:t>
      </w:r>
      <w:r w:rsidR="00FC358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1</w:t>
      </w: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/20</w:t>
      </w:r>
      <w:r w:rsidR="0083084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2</w:t>
      </w:r>
      <w:r w:rsidR="00FC3586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3</w:t>
      </w:r>
    </w:p>
    <w:p w:rsidR="00F2088D" w:rsidRPr="00F2088D" w:rsidRDefault="004E34EB" w:rsidP="00CE190E">
      <w:pPr>
        <w:pBdr>
          <w:top w:val="thickThinSmallGap" w:sz="18" w:space="1" w:color="auto"/>
          <w:left w:val="thickThinSmallGap" w:sz="18" w:space="4" w:color="auto"/>
          <w:bottom w:val="thinThickSmallGap" w:sz="18" w:space="1" w:color="auto"/>
          <w:right w:val="thinThickSmallGap" w:sz="18" w:space="4" w:color="auto"/>
        </w:pBdr>
        <w:spacing w:after="360" w:line="240" w:lineRule="auto"/>
        <w:jc w:val="center"/>
        <w:rPr>
          <w:rFonts w:ascii="Palatino Linotype" w:eastAsia="Times New Roman" w:hAnsi="Palatino Linotype" w:cs="Arial"/>
          <w:i/>
          <w:sz w:val="28"/>
          <w:szCs w:val="24"/>
          <w:lang w:eastAsia="it-IT"/>
        </w:rPr>
      </w:pPr>
      <w:r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VARIAZIONE</w:t>
      </w:r>
      <w:r w:rsidR="002E1518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 xml:space="preserve"> </w:t>
      </w:r>
      <w:r w:rsidR="00CE190E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 xml:space="preserve">DEL CONSIGLIO </w:t>
      </w:r>
      <w:r w:rsidR="002E1518">
        <w:rPr>
          <w:rFonts w:ascii="Palatino Linotype" w:eastAsia="Times New Roman" w:hAnsi="Palatino Linotype" w:cs="Arial"/>
          <w:b/>
          <w:sz w:val="44"/>
          <w:szCs w:val="24"/>
          <w:lang w:eastAsia="it-IT"/>
        </w:rPr>
        <w:t>COMUNALE</w:t>
      </w:r>
    </w:p>
    <w:p w:rsidR="00F2088D" w:rsidRDefault="00DB5CEA" w:rsidP="00F2088D">
      <w:pPr>
        <w:suppressAutoHyphens/>
        <w:spacing w:after="0" w:line="240" w:lineRule="auto"/>
        <w:rPr>
          <w:rFonts w:ascii="Verdana" w:eastAsia="Times New Roman" w:hAnsi="Verdana" w:cs="Times New Roman"/>
          <w:b/>
          <w:sz w:val="28"/>
          <w:szCs w:val="20"/>
          <w:lang w:eastAsia="ar-SA"/>
        </w:rPr>
      </w:pPr>
      <w:r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Verbale n. 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36</w:t>
      </w:r>
      <w:r w:rsidR="009259DF"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 del</w:t>
      </w:r>
      <w:r w:rsidR="007D0823">
        <w:rPr>
          <w:rFonts w:ascii="Verdana" w:eastAsia="Times New Roman" w:hAnsi="Verdana" w:cs="Times New Roman"/>
          <w:b/>
          <w:sz w:val="28"/>
          <w:szCs w:val="20"/>
          <w:lang w:eastAsia="ar-SA"/>
        </w:rPr>
        <w:t xml:space="preserve"> 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22</w:t>
      </w:r>
      <w:r w:rsidR="00C252C4">
        <w:rPr>
          <w:rFonts w:ascii="Verdana" w:eastAsia="Times New Roman" w:hAnsi="Verdana" w:cs="Times New Roman"/>
          <w:b/>
          <w:sz w:val="28"/>
          <w:szCs w:val="20"/>
          <w:lang w:eastAsia="ar-SA"/>
        </w:rPr>
        <w:t>/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03/</w:t>
      </w:r>
      <w:r w:rsidR="0007624C">
        <w:rPr>
          <w:rFonts w:ascii="Verdana" w:eastAsia="Times New Roman" w:hAnsi="Verdana" w:cs="Times New Roman"/>
          <w:b/>
          <w:sz w:val="28"/>
          <w:szCs w:val="20"/>
          <w:lang w:eastAsia="ar-SA"/>
        </w:rPr>
        <w:t>20</w:t>
      </w:r>
      <w:r w:rsidR="00FC3586">
        <w:rPr>
          <w:rFonts w:ascii="Verdana" w:eastAsia="Times New Roman" w:hAnsi="Verdana" w:cs="Times New Roman"/>
          <w:b/>
          <w:sz w:val="28"/>
          <w:szCs w:val="20"/>
          <w:lang w:eastAsia="ar-SA"/>
        </w:rPr>
        <w:t>21</w:t>
      </w:r>
    </w:p>
    <w:p w:rsidR="00FC3586" w:rsidRPr="00F2088D" w:rsidRDefault="00FC3586" w:rsidP="00F2088D">
      <w:pPr>
        <w:suppressAutoHyphens/>
        <w:spacing w:after="0" w:line="240" w:lineRule="auto"/>
        <w:rPr>
          <w:rFonts w:ascii="Palatino Linotype" w:eastAsia="Times New Roman" w:hAnsi="Palatino Linotype" w:cs="Arial"/>
          <w:b/>
          <w:sz w:val="32"/>
          <w:szCs w:val="24"/>
          <w:lang w:eastAsia="it-IT"/>
        </w:rPr>
      </w:pPr>
    </w:p>
    <w:p w:rsidR="00F2088D" w:rsidRPr="00F2088D" w:rsidRDefault="003D485C" w:rsidP="00F20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Il sottoscritto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Magotti</w:t>
      </w:r>
      <w:proofErr w:type="spellEnd"/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Maurizio 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nato a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Mantova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/195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 iscritto nell'elenco dei Revisori dei conti degli enti locali istituito ai sensi dell'articolo 16, comma 25 del D.L. n. 138/2011, convertito in Legge n. 148/2011 e del DM Interno n. 23 in data 15 febbraio 2012, nominato Revisore Unico dei Conti del Comune di Berzo Demo (</w:t>
      </w:r>
      <w:proofErr w:type="spellStart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Bs</w:t>
      </w:r>
      <w:proofErr w:type="spellEnd"/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con deliberazione consiliare dell’Ente n.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 2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Agosto 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D0823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2088D" w:rsidRPr="00F2088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2088D" w:rsidRPr="00F2088D" w:rsidRDefault="00F2088D" w:rsidP="00F208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88D" w:rsidRPr="00F2088D" w:rsidRDefault="00F2088D" w:rsidP="00F2088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2088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PREMESSO CE:</w:t>
      </w:r>
    </w:p>
    <w:p w:rsidR="00F2088D" w:rsidRPr="00566765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deliberazione del Consiglio Comunale 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D9509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32</w:t>
      </w:r>
      <w:r w:rsidR="003854BF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07A5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del 30/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12</w:t>
      </w:r>
      <w:r w:rsidR="00F07A5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stato approvat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o il bilancio di previsione 20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ed il documento unico di programmazione (DUP)</w:t>
      </w:r>
    </w:p>
    <w:p w:rsidR="00655277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deliberazione del Consiglio Comunale 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  <w:r w:rsidR="00F36E2B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D11164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/0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D11164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C7741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approvato il Rendiconto relativ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all’esercizio finanziario </w:t>
      </w:r>
      <w:r w:rsidR="00D11164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201</w:t>
      </w:r>
      <w:r w:rsidR="0056676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9</w:t>
      </w:r>
    </w:p>
    <w:p w:rsidR="00F2088D" w:rsidRPr="00566765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F2088D" w:rsidRPr="00F2088D" w:rsidRDefault="00F2088D" w:rsidP="00F2088D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rende necessario modificare conseguentemente il bilancio pluriennale per il triennio 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20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21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/20</w:t>
      </w:r>
      <w:r w:rsidR="00BA30A3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="000B08D5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relativament</w:t>
      </w:r>
      <w:r w:rsidR="00DB5CEA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e all’esercizio finanziario 20</w:t>
      </w:r>
      <w:r w:rsidR="0007624C"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FC358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566765">
        <w:rPr>
          <w:rFonts w:ascii="Times New Roman" w:eastAsia="Times New Roman" w:hAnsi="Times New Roman" w:cs="Times New Roman"/>
          <w:sz w:val="24"/>
          <w:szCs w:val="24"/>
          <w:lang w:eastAsia="it-IT"/>
        </w:rPr>
        <w:t>, oltre</w:t>
      </w:r>
      <w:r w:rsidRPr="00F2088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documento unico di programmazione</w:t>
      </w:r>
    </w:p>
    <w:p w:rsidR="00F2088D" w:rsidRPr="00F2088D" w:rsidRDefault="00F2088D" w:rsidP="00F208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088D" w:rsidRPr="00F2088D" w:rsidRDefault="00F2088D" w:rsidP="00F208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0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CONSIDERATO</w:t>
      </w:r>
    </w:p>
    <w:p w:rsidR="00F2088D" w:rsidRPr="00F2088D" w:rsidRDefault="00F2088D" w:rsidP="00F208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801A4" w:rsidRPr="00E00BE6" w:rsidRDefault="001801A4" w:rsidP="001801A4">
      <w:pPr>
        <w:numPr>
          <w:ilvl w:val="0"/>
          <w:numId w:val="2"/>
        </w:numPr>
        <w:suppressAutoHyphens/>
        <w:spacing w:after="120" w:line="240" w:lineRule="auto"/>
        <w:ind w:left="425" w:hanging="357"/>
        <w:jc w:val="both"/>
        <w:rPr>
          <w:rFonts w:ascii="Palatino Linotype" w:eastAsia="Times New Roman" w:hAnsi="Palatino Linotype" w:cs="Times New Roman"/>
          <w:lang w:eastAsia="ar-SA"/>
        </w:rPr>
      </w:pPr>
      <w:r w:rsidRPr="00E00BE6">
        <w:rPr>
          <w:rFonts w:ascii="Palatino Linotype" w:eastAsia="Times New Roman" w:hAnsi="Palatino Linotype" w:cs="Times New Roman"/>
          <w:lang w:eastAsia="ar-SA"/>
        </w:rPr>
        <w:t>Che necessita di adeguare gli stanziamenti del bilancio alle reali esigenze del Comune anch</w:t>
      </w:r>
      <w:r w:rsidR="00B707A2" w:rsidRPr="00E00BE6">
        <w:rPr>
          <w:rFonts w:ascii="Palatino Linotype" w:eastAsia="Times New Roman" w:hAnsi="Palatino Linotype" w:cs="Times New Roman"/>
          <w:lang w:eastAsia="ar-SA"/>
        </w:rPr>
        <w:t xml:space="preserve">e a seguito </w:t>
      </w:r>
      <w:r w:rsidR="00AE2545" w:rsidRPr="00E00BE6">
        <w:rPr>
          <w:rFonts w:ascii="Palatino Linotype" w:eastAsia="Times New Roman" w:hAnsi="Palatino Linotype" w:cs="Times New Roman"/>
          <w:lang w:eastAsia="ar-SA"/>
        </w:rPr>
        <w:t xml:space="preserve">di vari interventi di necessaria urgenza </w:t>
      </w:r>
      <w:r w:rsidR="004E2A97" w:rsidRPr="00E00BE6">
        <w:rPr>
          <w:rFonts w:ascii="Palatino Linotype" w:eastAsia="Times New Roman" w:hAnsi="Palatino Linotype" w:cs="Times New Roman"/>
          <w:lang w:eastAsia="ar-SA"/>
        </w:rPr>
        <w:t>di maggior rilevanza</w:t>
      </w:r>
    </w:p>
    <w:p w:rsidR="00DB3D30" w:rsidRPr="00DB3D30" w:rsidRDefault="008E4899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Times New Roman"/>
          <w:lang w:eastAsia="ar-SA"/>
        </w:rPr>
        <w:t xml:space="preserve">Maggiori entrate </w:t>
      </w:r>
      <w:r w:rsidR="00DB3D30"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CONTRIBUTO GSE RIQUALIFICAZIONE ED INCREMENTO DELL'EFFICIENZA ENERGIETICA DEL MUNICIPIO DI BERZO DEMO</w:t>
      </w:r>
      <w:r w:rsid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€</w:t>
      </w:r>
      <w:r w:rsidR="00DB3D30"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119.</w:t>
      </w:r>
      <w:r w:rsidR="00D26A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458</w:t>
      </w:r>
      <w:r w:rsid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D26A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65</w:t>
      </w:r>
    </w:p>
    <w:p w:rsidR="00DB3D30" w:rsidRP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CONTRIBUTO CMVC MISURE FORESTALI AZIONE 3 PER INTERVENTO DI MESSA IN SICUREZZA VALLE DELLA SILVA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€ 60.000,00</w:t>
      </w:r>
    </w:p>
    <w:p w:rsid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P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CONTRIBUTO STATO RIQUALIFICAZIONE ED INCREMENTO DELL'EFFICIENZA ENERGIETICA DEL MUNICIPIO DI BERZO DEMO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€ 50.000,00</w:t>
      </w:r>
      <w:r w:rsidR="00D26A0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50.000,00 ERANO INSERITI NEL BILANCIO DI PREVISIONE.</w:t>
      </w:r>
    </w:p>
    <w:p w:rsid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EMERGENZA COVID 19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-FONDI AREE INTERNE 2020 € 34.438,00</w:t>
      </w:r>
    </w:p>
    <w:p w:rsid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P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ALIENAZIONE TERRENI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€ 4.000,00</w:t>
      </w:r>
    </w:p>
    <w:p w:rsidR="00DB3D30" w:rsidRP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Default="00DB3D30" w:rsidP="00DB3D3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Palatino Linotype" w:eastAsia="Times New Roman" w:hAnsi="Palatino Linotype" w:cs="Times New Roman"/>
          <w:lang w:eastAsia="ar-SA"/>
        </w:rPr>
        <w:t xml:space="preserve">Maggiori spese </w:t>
      </w: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RIQUALIFICAZIONE ENERGETICA EDIFICI PUBBLICI MUNICIPIO BERZO DEMO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€ 219.458.65</w:t>
      </w:r>
    </w:p>
    <w:p w:rsid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INTERVENTO DI MESSA IN SICUREZZA VALLE DELLA SILVA CONTRIBUTO CMVC MISURE FORESTALI AZIONE 3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€ 60.000,00</w:t>
      </w:r>
    </w:p>
    <w:p w:rsid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DB3D30" w:rsidRPr="00DB3D30" w:rsidRDefault="00DB3D30" w:rsidP="00DB3D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DB3D3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ACQUISTO E MANUTENZIONI STRAORDINARIE SCUOLABUS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€ 50.000,00</w:t>
      </w:r>
      <w:r w:rsidR="001B262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FINANZIATO CON I FONDI DELLO STATO PER IL COVID 19 </w:t>
      </w:r>
      <w:bookmarkStart w:id="0" w:name="_GoBack"/>
      <w:bookmarkEnd w:id="0"/>
      <w:r w:rsidR="001B262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ART 106 </w:t>
      </w:r>
    </w:p>
    <w:p w:rsidR="00901FAB" w:rsidRDefault="00901FAB" w:rsidP="00270E26">
      <w:pPr>
        <w:spacing w:after="0" w:line="240" w:lineRule="auto"/>
        <w:contextualSpacing/>
        <w:rPr>
          <w:rFonts w:ascii="Palatino Linotype" w:eastAsia="Times New Roman" w:hAnsi="Palatino Linotype" w:cs="Times New Roman"/>
          <w:lang w:eastAsia="ar-SA"/>
        </w:rPr>
      </w:pPr>
    </w:p>
    <w:p w:rsidR="00901FAB" w:rsidRPr="001801A4" w:rsidRDefault="00901FAB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VISTI</w:t>
      </w: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l’articolo 175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187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Decreto Legislativo 18 agosto 2000, n. 267 e successive modifiche e integrazioni e l’articolo 61 dello Statuto;</w:t>
      </w: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il parere favorevole, reso dal Dirigente responsabile, ai sensi dell’articolo 49, comma 1, del Decreto Legislativo 18 agosto 2000, n. 267 e successive modifiche e integrazioni, in ordine alla regolarità tecnica e contabile;</w:t>
      </w:r>
    </w:p>
    <w:p w:rsidR="00D756D1" w:rsidRDefault="00D756D1" w:rsidP="00270E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801A4" w:rsidRPr="001801A4" w:rsidRDefault="001801A4" w:rsidP="001801A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VALUTATA </w:t>
      </w:r>
    </w:p>
    <w:p w:rsidR="00EC357D" w:rsidRDefault="00EC357D" w:rsidP="00EC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C357D" w:rsidRPr="00EC357D" w:rsidRDefault="00EC357D" w:rsidP="00EC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357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LA VARIAZIONE PROPOSTA PER </w:t>
      </w:r>
      <w:r w:rsidR="003B0D2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IL CONSIGLIO</w:t>
      </w:r>
      <w:r w:rsidRPr="00EC357D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COMUNALE</w:t>
      </w:r>
      <w:r w:rsidRPr="00EC357D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270E26" w:rsidRPr="00270E26" w:rsidRDefault="001801A4" w:rsidP="00270E26">
      <w:pPr>
        <w:widowControl w:val="0"/>
        <w:numPr>
          <w:ilvl w:val="0"/>
          <w:numId w:val="1"/>
        </w:numPr>
        <w:suppressAutoHyphens/>
        <w:spacing w:after="12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apportare al Bilancio di Previsione per </w:t>
      </w:r>
      <w:r w:rsidR="00F36E2B">
        <w:rPr>
          <w:rFonts w:ascii="Times New Roman" w:eastAsia="Times New Roman" w:hAnsi="Times New Roman" w:cs="Times New Roman"/>
          <w:sz w:val="24"/>
          <w:szCs w:val="24"/>
          <w:lang w:eastAsia="it-IT"/>
        </w:rPr>
        <w:t>l’esercizio finanziario 20</w:t>
      </w:r>
      <w:r w:rsidR="003B0D28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="00F47671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</w:p>
    <w:p w:rsidR="00270E26" w:rsidRDefault="00270E26" w:rsidP="00270E26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ANNO 2021</w:t>
      </w:r>
    </w:p>
    <w:p w:rsidR="00270E26" w:rsidRPr="00270E26" w:rsidRDefault="00270E26" w:rsidP="00270E26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cs="Arial"/>
          <w:sz w:val="18"/>
          <w:szCs w:val="18"/>
        </w:rPr>
      </w:pPr>
      <w:r>
        <w:rPr>
          <w:rFonts w:ascii="Calibri" w:eastAsia="Calibri" w:hAnsi="Calibri" w:cs="Times New Roman"/>
        </w:rPr>
        <w:object w:dxaOrig="8760" w:dyaOrig="3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25pt;height:182.8pt" o:ole="">
            <v:imagedata r:id="rId8" o:title=""/>
          </v:shape>
          <o:OLEObject Type="Embed" ProgID="Excel.Sheet.12" ShapeID="_x0000_i1025" DrawAspect="Content" ObjectID="_1678170567" r:id="rId9"/>
        </w:object>
      </w:r>
    </w:p>
    <w:p w:rsidR="00270E26" w:rsidRDefault="00270E26" w:rsidP="00270E26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ANNO 2022</w:t>
      </w:r>
    </w:p>
    <w:p w:rsidR="00270E26" w:rsidRPr="00270E26" w:rsidRDefault="00270E26" w:rsidP="00270E26">
      <w:pPr>
        <w:pStyle w:val="Paragrafoelenco"/>
        <w:numPr>
          <w:ilvl w:val="0"/>
          <w:numId w:val="1"/>
        </w:numPr>
        <w:spacing w:line="300" w:lineRule="atLeast"/>
        <w:jc w:val="both"/>
        <w:rPr>
          <w:rFonts w:ascii="Calibri" w:eastAsia="Calibri" w:hAnsi="Calibri" w:cs="Times New Roman"/>
        </w:rPr>
      </w:pPr>
      <w:r>
        <w:object w:dxaOrig="8760" w:dyaOrig="3660">
          <v:shape id="_x0000_i1026" type="#_x0000_t75" style="width:438.25pt;height:182.8pt" o:ole="">
            <v:imagedata r:id="rId10" o:title=""/>
          </v:shape>
          <o:OLEObject Type="Embed" ProgID="Excel.Sheet.12" ShapeID="_x0000_i1026" DrawAspect="Content" ObjectID="_1678170568" r:id="rId11"/>
        </w:object>
      </w:r>
    </w:p>
    <w:p w:rsidR="0025565A" w:rsidRPr="00C57FE4" w:rsidRDefault="0025565A" w:rsidP="0025565A">
      <w:pPr>
        <w:spacing w:line="300" w:lineRule="atLeast"/>
        <w:jc w:val="both"/>
        <w:rPr>
          <w:rFonts w:ascii="Calibri" w:hAnsi="Calibri" w:cs="Arial"/>
          <w:sz w:val="18"/>
          <w:szCs w:val="18"/>
        </w:rPr>
      </w:pPr>
    </w:p>
    <w:p w:rsidR="00D95095" w:rsidRPr="004F555E" w:rsidRDefault="001801A4" w:rsidP="004F555E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mantenere il pareggio di Bilancio </w:t>
      </w:r>
      <w:r w:rsidR="006E3D89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l’esercizio finanziario 20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21</w:t>
      </w:r>
      <w:r w:rsidR="007250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="0072506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it-IT"/>
        </w:rPr>
        <w:t>3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, rispettando i relativi equilibri;</w:t>
      </w:r>
    </w:p>
    <w:p w:rsidR="001801A4" w:rsidRPr="001801A4" w:rsidRDefault="001801A4" w:rsidP="001801A4">
      <w:pPr>
        <w:widowControl w:val="0"/>
        <w:numPr>
          <w:ilvl w:val="0"/>
          <w:numId w:val="1"/>
        </w:numPr>
        <w:suppressAutoHyphens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it-IT"/>
        </w:rPr>
        <w:t>di modificare il Documento Unico di Programmazione.</w:t>
      </w:r>
    </w:p>
    <w:p w:rsidR="001801A4" w:rsidRPr="001801A4" w:rsidRDefault="001801A4" w:rsidP="001801A4">
      <w:pPr>
        <w:widowControl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801A4" w:rsidRPr="001801A4" w:rsidRDefault="001801A4" w:rsidP="001801A4">
      <w:pPr>
        <w:suppressAutoHyphens/>
        <w:spacing w:after="120" w:line="240" w:lineRule="auto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CONSIDERATO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che le variazioni osservate consentono la gestione dell’Ente, nel rispetto del pareggio finanziario e di tutti gli equilibri stabiliti per le spese correnti e per il finanziamento degli investimenti di cui all’art. 193 del DPR 267/2000 relativamente al Bilancio di Previsione per l’esercizio finanziario 20</w:t>
      </w:r>
      <w:r w:rsidR="00CE190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556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ESPRIME</w:t>
      </w:r>
    </w:p>
    <w:p w:rsidR="001801A4" w:rsidRPr="001801A4" w:rsidRDefault="001801A4" w:rsidP="00E9214E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proprio parere favorevole sulla proposta del</w:t>
      </w:r>
      <w:r w:rsidR="00E921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Consiglio 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Comunale di variazione al Bilancio di Previsione per</w:t>
      </w:r>
      <w:r w:rsidR="006E3D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l’esercizio finanziario 20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11164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>, e la modifica contestuale del Documento Unico di Programmazione (DUP), in funzione delle variazioni intervenute.</w:t>
      </w:r>
    </w:p>
    <w:p w:rsidR="001801A4" w:rsidRPr="001801A4" w:rsidRDefault="00BD7CDF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Berzo Demo, 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22</w:t>
      </w:r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="0083084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E9214E">
        <w:rPr>
          <w:rFonts w:ascii="Times New Roman" w:eastAsia="Times New Roman" w:hAnsi="Times New Roman" w:cs="Times New Roman"/>
          <w:sz w:val="24"/>
          <w:szCs w:val="24"/>
          <w:lang w:eastAsia="ar-SA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B11C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270E2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:rsidR="001801A4" w:rsidRPr="001801A4" w:rsidRDefault="001801A4" w:rsidP="001801A4">
      <w:pPr>
        <w:suppressAutoHyphens/>
        <w:spacing w:after="120" w:line="240" w:lineRule="auto"/>
        <w:ind w:left="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01A4" w:rsidRPr="001801A4" w:rsidRDefault="001801A4" w:rsidP="001801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IL REVISORE DEI CONTI</w:t>
      </w:r>
    </w:p>
    <w:p w:rsidR="002D1BBD" w:rsidRDefault="001801A4" w:rsidP="001801A4">
      <w:pPr>
        <w:suppressAutoHyphens/>
        <w:spacing w:after="0" w:line="240" w:lineRule="auto"/>
      </w:pP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</w:t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01A4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Dott. </w:t>
      </w:r>
      <w:proofErr w:type="spellStart"/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>Magotti</w:t>
      </w:r>
      <w:proofErr w:type="spellEnd"/>
      <w:r w:rsidR="005121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Maurizio </w:t>
      </w:r>
    </w:p>
    <w:sectPr w:rsidR="002D1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dOul BT">
    <w:altName w:val="Gabriola"/>
    <w:panose1 w:val="04020705020B03040203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7F74"/>
    <w:multiLevelType w:val="hybridMultilevel"/>
    <w:tmpl w:val="C5B070E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762D37"/>
    <w:multiLevelType w:val="hybridMultilevel"/>
    <w:tmpl w:val="A1663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8D"/>
    <w:rsid w:val="0003333A"/>
    <w:rsid w:val="00057EC5"/>
    <w:rsid w:val="0007624C"/>
    <w:rsid w:val="00085244"/>
    <w:rsid w:val="000A182D"/>
    <w:rsid w:val="000A201E"/>
    <w:rsid w:val="000B08D5"/>
    <w:rsid w:val="000B570B"/>
    <w:rsid w:val="00121F31"/>
    <w:rsid w:val="0013377A"/>
    <w:rsid w:val="001361C5"/>
    <w:rsid w:val="001416D1"/>
    <w:rsid w:val="001547DB"/>
    <w:rsid w:val="00164894"/>
    <w:rsid w:val="0016521F"/>
    <w:rsid w:val="00165BF9"/>
    <w:rsid w:val="001801A4"/>
    <w:rsid w:val="00197089"/>
    <w:rsid w:val="001B2621"/>
    <w:rsid w:val="002255CC"/>
    <w:rsid w:val="0023106D"/>
    <w:rsid w:val="002372DA"/>
    <w:rsid w:val="00237356"/>
    <w:rsid w:val="00243639"/>
    <w:rsid w:val="002515F0"/>
    <w:rsid w:val="00252A47"/>
    <w:rsid w:val="0025565A"/>
    <w:rsid w:val="00270E26"/>
    <w:rsid w:val="00292500"/>
    <w:rsid w:val="002A749D"/>
    <w:rsid w:val="002E1518"/>
    <w:rsid w:val="002E34F6"/>
    <w:rsid w:val="00353C7E"/>
    <w:rsid w:val="003854BF"/>
    <w:rsid w:val="003B0D28"/>
    <w:rsid w:val="003B4435"/>
    <w:rsid w:val="003B768C"/>
    <w:rsid w:val="003C49FC"/>
    <w:rsid w:val="003C5FD2"/>
    <w:rsid w:val="003D3802"/>
    <w:rsid w:val="003D485C"/>
    <w:rsid w:val="003E2A53"/>
    <w:rsid w:val="003F0737"/>
    <w:rsid w:val="003F7115"/>
    <w:rsid w:val="00421F27"/>
    <w:rsid w:val="0044534F"/>
    <w:rsid w:val="004854E0"/>
    <w:rsid w:val="004E2A97"/>
    <w:rsid w:val="004E34EB"/>
    <w:rsid w:val="004F555E"/>
    <w:rsid w:val="004F6C50"/>
    <w:rsid w:val="005121BC"/>
    <w:rsid w:val="0053573B"/>
    <w:rsid w:val="0055453D"/>
    <w:rsid w:val="00566765"/>
    <w:rsid w:val="00567E02"/>
    <w:rsid w:val="005D43A8"/>
    <w:rsid w:val="00603F93"/>
    <w:rsid w:val="006233F3"/>
    <w:rsid w:val="00655277"/>
    <w:rsid w:val="00657B10"/>
    <w:rsid w:val="006603B5"/>
    <w:rsid w:val="00665D46"/>
    <w:rsid w:val="006E3D89"/>
    <w:rsid w:val="00711587"/>
    <w:rsid w:val="00725060"/>
    <w:rsid w:val="0075296E"/>
    <w:rsid w:val="00787E90"/>
    <w:rsid w:val="007D0823"/>
    <w:rsid w:val="00830846"/>
    <w:rsid w:val="00882C3E"/>
    <w:rsid w:val="008A007B"/>
    <w:rsid w:val="008C7548"/>
    <w:rsid w:val="008E435E"/>
    <w:rsid w:val="008E4899"/>
    <w:rsid w:val="00901FAB"/>
    <w:rsid w:val="0091696D"/>
    <w:rsid w:val="009259DF"/>
    <w:rsid w:val="00955291"/>
    <w:rsid w:val="00972EEB"/>
    <w:rsid w:val="009A565A"/>
    <w:rsid w:val="009B077B"/>
    <w:rsid w:val="00A6764D"/>
    <w:rsid w:val="00A76947"/>
    <w:rsid w:val="00AB62C9"/>
    <w:rsid w:val="00AE2545"/>
    <w:rsid w:val="00AF3B6D"/>
    <w:rsid w:val="00B11C01"/>
    <w:rsid w:val="00B2242A"/>
    <w:rsid w:val="00B6269F"/>
    <w:rsid w:val="00B707A2"/>
    <w:rsid w:val="00B730BC"/>
    <w:rsid w:val="00BA30A3"/>
    <w:rsid w:val="00BB7B19"/>
    <w:rsid w:val="00BD7CDF"/>
    <w:rsid w:val="00C07413"/>
    <w:rsid w:val="00C14282"/>
    <w:rsid w:val="00C17191"/>
    <w:rsid w:val="00C252C4"/>
    <w:rsid w:val="00C31B58"/>
    <w:rsid w:val="00C3719C"/>
    <w:rsid w:val="00C57FE4"/>
    <w:rsid w:val="00C71C6E"/>
    <w:rsid w:val="00C7741A"/>
    <w:rsid w:val="00C77669"/>
    <w:rsid w:val="00C92614"/>
    <w:rsid w:val="00C954A2"/>
    <w:rsid w:val="00CA5340"/>
    <w:rsid w:val="00CD1830"/>
    <w:rsid w:val="00CE190E"/>
    <w:rsid w:val="00CF39BB"/>
    <w:rsid w:val="00D1041D"/>
    <w:rsid w:val="00D11164"/>
    <w:rsid w:val="00D1500E"/>
    <w:rsid w:val="00D15B0B"/>
    <w:rsid w:val="00D26A0E"/>
    <w:rsid w:val="00D756D1"/>
    <w:rsid w:val="00D91986"/>
    <w:rsid w:val="00D94BC0"/>
    <w:rsid w:val="00D95095"/>
    <w:rsid w:val="00DB3D30"/>
    <w:rsid w:val="00DB5CEA"/>
    <w:rsid w:val="00DC101D"/>
    <w:rsid w:val="00E00BE6"/>
    <w:rsid w:val="00E9214E"/>
    <w:rsid w:val="00E92896"/>
    <w:rsid w:val="00EC357D"/>
    <w:rsid w:val="00F07A5C"/>
    <w:rsid w:val="00F2088D"/>
    <w:rsid w:val="00F2586D"/>
    <w:rsid w:val="00F35909"/>
    <w:rsid w:val="00F36E2B"/>
    <w:rsid w:val="00F4380B"/>
    <w:rsid w:val="00F47671"/>
    <w:rsid w:val="00F511E8"/>
    <w:rsid w:val="00FC3586"/>
    <w:rsid w:val="00FD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34BF6C9"/>
  <w15:chartTrackingRefBased/>
  <w15:docId w15:val="{77E288DB-9C8F-4285-B33B-FEFDDB3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89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une.berzo-demo.b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berzo-demo.bs.it" TargetMode="External"/><Relationship Id="rId11" Type="http://schemas.openxmlformats.org/officeDocument/2006/relationships/package" Target="embeddings/Foglio_di_lavoro_di_Microsoft_Excel1.xlsx"/><Relationship Id="rId5" Type="http://schemas.openxmlformats.org/officeDocument/2006/relationships/image" Target="media/image1.png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Foglio_di_lavoro_di_Microsoft_Excel.xlsx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Zambon</dc:creator>
  <cp:keywords/>
  <dc:description/>
  <cp:lastModifiedBy>Massimo Maffessoli</cp:lastModifiedBy>
  <cp:revision>19</cp:revision>
  <cp:lastPrinted>2016-06-24T14:55:00Z</cp:lastPrinted>
  <dcterms:created xsi:type="dcterms:W3CDTF">2020-09-21T07:04:00Z</dcterms:created>
  <dcterms:modified xsi:type="dcterms:W3CDTF">2021-03-25T08:43:00Z</dcterms:modified>
</cp:coreProperties>
</file>