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4E" w:rsidRDefault="00557861">
      <w:pPr>
        <w:pStyle w:val="NormaleWeb"/>
        <w:jc w:val="center"/>
        <w:rPr>
          <w:rFonts w:ascii="Verdana" w:hAnsi="Verdana" w:cs="Verdana"/>
          <w:sz w:val="18"/>
        </w:rPr>
      </w:pPr>
      <w:bookmarkStart w:id="0" w:name="_GoBack"/>
      <w:bookmarkEnd w:id="0"/>
      <w:r>
        <w:rPr>
          <w:rFonts w:ascii="Verdana" w:hAnsi="Verdana" w:cs="Verdana"/>
          <w:b/>
          <w:sz w:val="24"/>
        </w:rPr>
        <w:t>Anticorruzione - Misure prevenzione e monitoraggio - Obiettivi, Tempi, Responsabili</w:t>
      </w:r>
    </w:p>
    <w:p w:rsidR="005E284E" w:rsidRDefault="00557861">
      <w:pPr>
        <w:pStyle w:val="NormaleWeb"/>
        <w:jc w:val="center"/>
      </w:pPr>
      <w:r>
        <w:rPr>
          <w:rFonts w:ascii="Verdana" w:hAnsi="Verdana" w:cs="Verdana"/>
          <w:sz w:val="18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842"/>
        <w:gridCol w:w="876"/>
        <w:gridCol w:w="2445"/>
        <w:gridCol w:w="2025"/>
      </w:tblGrid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b/>
                <w:sz w:val="12"/>
              </w:rPr>
            </w:pPr>
            <w:r>
              <w:rPr>
                <w:rFonts w:ascii="Verdana" w:hAnsi="Verdana" w:cs="Verdana"/>
                <w:b/>
                <w:sz w:val="12"/>
              </w:rPr>
              <w:t>Misure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b/>
                <w:sz w:val="12"/>
              </w:rPr>
            </w:pPr>
            <w:r>
              <w:rPr>
                <w:rFonts w:ascii="Verdana" w:hAnsi="Verdana" w:cs="Verdana"/>
                <w:b/>
                <w:sz w:val="12"/>
              </w:rPr>
              <w:t>Obbiettivi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b/>
                <w:sz w:val="12"/>
              </w:rPr>
            </w:pPr>
            <w:r>
              <w:rPr>
                <w:rFonts w:ascii="Verdana" w:hAnsi="Verdana" w:cs="Verdana"/>
                <w:b/>
                <w:sz w:val="12"/>
              </w:rPr>
              <w:t>Tempi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b/>
                <w:sz w:val="12"/>
              </w:rPr>
            </w:pPr>
            <w:r>
              <w:rPr>
                <w:rFonts w:ascii="Verdana" w:hAnsi="Verdana" w:cs="Verdana"/>
                <w:b/>
                <w:sz w:val="12"/>
              </w:rPr>
              <w:t>Responsabili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Codice di Comportamento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Tutto il personale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Composizione delle commissioni di concorso con criteri predeterminati e </w:t>
            </w:r>
            <w:r>
              <w:rPr>
                <w:rFonts w:ascii="Verdana" w:hAnsi="Verdana" w:cs="Verdana"/>
                <w:sz w:val="12"/>
              </w:rPr>
              <w:t>regolamentati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Responsabile dell'unità organizzativa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Condizione nei bandi di non aver concluso contratti/attribuito incarichi con ex dipendenti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Responsabile dell'unità organizzativa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Controllo autocertificazioni ex DPR 445/2000 per </w:t>
            </w:r>
            <w:r>
              <w:rPr>
                <w:rFonts w:ascii="Verdana" w:hAnsi="Verdana" w:cs="Verdana"/>
                <w:sz w:val="12"/>
              </w:rPr>
              <w:t>accedere alle prestazioni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Anno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Responsabile dell'unità organizzativa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Definizione di criteri per l'autorizzazione allo svolgimento di incarichi esterni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Dichiarazioni di inconferibilità e incompatibilità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Commissari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Distinzione tra</w:t>
            </w:r>
            <w:r>
              <w:rPr>
                <w:rFonts w:ascii="Verdana" w:hAnsi="Verdana" w:cs="Verdana"/>
                <w:sz w:val="12"/>
              </w:rPr>
              <w:t xml:space="preserve"> responsabile procedimento e responsabile atto (sottoscrittore)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Responsabile dell'unità organizzativa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Formazione generale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Formazione specifica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Limitazione libertà negoziale dipendente pubblico, dopo la cessazione del rapporto di </w:t>
            </w:r>
            <w:r>
              <w:rPr>
                <w:rFonts w:ascii="Verdana" w:hAnsi="Verdana" w:cs="Verdana"/>
                <w:sz w:val="12"/>
              </w:rPr>
              <w:t>lavoro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Responsabile dell'unità organizzativa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Livello minimo confronto concorrenziale e criterio di rotazione per affidamento diretto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Responsabile del procedimento</w:t>
            </w:r>
            <w:r>
              <w:br/>
            </w:r>
            <w:r>
              <w:br/>
            </w:r>
            <w:r>
              <w:rPr>
                <w:rFonts w:ascii="Verdana" w:hAnsi="Verdana" w:cs="Verdana"/>
                <w:sz w:val="12"/>
              </w:rPr>
              <w:t>Responsabile dell'unità organizzativa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Monitoraggio dei termini di </w:t>
            </w:r>
            <w:r>
              <w:rPr>
                <w:rFonts w:ascii="Verdana" w:hAnsi="Verdana" w:cs="Verdana"/>
                <w:sz w:val="12"/>
              </w:rPr>
              <w:t>conclusione dei procedimenti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Obbligo di adeguata attività istruttoria e di motivazione del provvedimento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Responsabile del procedimento</w:t>
            </w:r>
            <w:r>
              <w:br/>
            </w:r>
            <w:r>
              <w:br/>
            </w:r>
            <w:r>
              <w:rPr>
                <w:rFonts w:ascii="Verdana" w:hAnsi="Verdana" w:cs="Verdana"/>
                <w:sz w:val="12"/>
              </w:rPr>
              <w:t>Responsabile dell'unità organizzativa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Obbligo di astensione nel caso di conflitti di interesse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Imm</w:t>
            </w:r>
            <w:r>
              <w:rPr>
                <w:rFonts w:ascii="Verdana" w:hAnsi="Verdana" w:cs="Verdana"/>
                <w:sz w:val="12"/>
              </w:rPr>
              <w:t>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Commissari</w:t>
            </w:r>
            <w:r>
              <w:br/>
            </w:r>
            <w:r>
              <w:br/>
            </w:r>
            <w:r>
              <w:rPr>
                <w:rFonts w:ascii="Verdana" w:hAnsi="Verdana" w:cs="Verdana"/>
                <w:sz w:val="12"/>
              </w:rPr>
              <w:t>Responsabile del procedimento</w:t>
            </w:r>
            <w:r>
              <w:br/>
            </w:r>
            <w:r>
              <w:br/>
            </w:r>
            <w:r>
              <w:rPr>
                <w:rFonts w:ascii="Verdana" w:hAnsi="Verdana" w:cs="Verdana"/>
                <w:sz w:val="12"/>
              </w:rPr>
              <w:t>Responsabile dell'unità organizzativa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Regolamento albo comunale libere forme associative di volontariato, delibera CC 51/2007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Regolamento comunale Sistema Integrato di interventi e servizi sociali, </w:t>
            </w:r>
            <w:r>
              <w:rPr>
                <w:rFonts w:ascii="Verdana" w:hAnsi="Verdana" w:cs="Verdana"/>
                <w:sz w:val="12"/>
              </w:rPr>
              <w:t>delibera del CC 4/2007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Regolamento contributi contro interessi mutui prima casa, delibera CC 19/2009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Regolamento contributi economici/benefici soggetti diversi da persone fisiche, CC 52/2007 e 17/2012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Ricorso a CONSIP e MEPA per </w:t>
            </w:r>
            <w:r>
              <w:rPr>
                <w:rFonts w:ascii="Verdana" w:hAnsi="Verdana" w:cs="Verdana"/>
                <w:sz w:val="12"/>
              </w:rPr>
              <w:t>acquisizioni di forniture e servizi sottosoglia comunitaria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Responsabile del procedimento</w:t>
            </w:r>
            <w:r>
              <w:br/>
            </w:r>
            <w:r>
              <w:br/>
            </w:r>
            <w:r>
              <w:rPr>
                <w:rFonts w:ascii="Verdana" w:hAnsi="Verdana" w:cs="Verdana"/>
                <w:sz w:val="12"/>
              </w:rPr>
              <w:lastRenderedPageBreak/>
              <w:t>Responsabile dell'unità organizzativa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lastRenderedPageBreak/>
              <w:t>Ricorso a procedure di evidenza pubblica per ogni tipologia di assunzione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 xml:space="preserve">Responsabile dell'unità </w:t>
            </w:r>
            <w:r>
              <w:rPr>
                <w:rFonts w:ascii="Verdana" w:hAnsi="Verdana" w:cs="Verdana"/>
                <w:sz w:val="12"/>
              </w:rPr>
              <w:t>organizzativa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Rispetto previsioni normative in materia di proroga e rinnovo contrattuale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Responsabile dell'unità organizzativa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Rispetto regolamento comunale in materia di assunzioni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Rotazione del personale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Trasparenza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All'atto</w:t>
            </w:r>
            <w:r>
              <w:rPr>
                <w:rFonts w:ascii="Verdana" w:hAnsi="Verdana" w:cs="Verdana"/>
                <w:sz w:val="12"/>
              </w:rPr>
              <w:t xml:space="preserve"> dell'adozione del relativo provedimento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Responsabile dell'unità organizzativa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Tutela del whistleblowing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Verbalizzazione delle operazioni di controllo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Verifica di precedenti condanne per reati contro la pubblica amministrazione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5E2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Vigilanza applicazione normativa e determinazioni ANAC da parte degli enti/società controllate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4E" w:rsidRDefault="00557861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</w:tbl>
    <w:p w:rsidR="005E284E" w:rsidRDefault="005E284E"/>
    <w:sectPr w:rsidR="005E284E">
      <w:headerReference w:type="default" r:id="rId6"/>
      <w:footerReference w:type="default" r:id="rId7"/>
      <w:pgSz w:w="11906" w:h="16838"/>
      <w:pgMar w:top="3402" w:right="851" w:bottom="851" w:left="851" w:header="284" w:footer="1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61" w:rsidRDefault="00557861">
      <w:pPr>
        <w:spacing w:after="0" w:line="240" w:lineRule="auto"/>
      </w:pPr>
      <w:r>
        <w:separator/>
      </w:r>
    </w:p>
  </w:endnote>
  <w:endnote w:type="continuationSeparator" w:id="0">
    <w:p w:rsidR="00557861" w:rsidRDefault="0055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BdOul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4E" w:rsidRDefault="00557861">
    <w:pPr>
      <w:pStyle w:val="Pidipagina"/>
      <w:spacing w:after="120"/>
      <w:jc w:val="center"/>
      <w:rPr>
        <w:rFonts w:ascii="Verdana" w:hAnsi="Verdana" w:cs="Verdana"/>
        <w:sz w:val="14"/>
      </w:rPr>
    </w:pPr>
    <w:r>
      <w:rPr>
        <w:rFonts w:ascii="Verdana" w:hAnsi="Verdana" w:cs="Verdana"/>
        <w:sz w:val="18"/>
      </w:rPr>
      <w:t xml:space="preserve">Pagina </w:t>
    </w:r>
    <w:r>
      <w:fldChar w:fldCharType="begin"/>
    </w:r>
    <w:r>
      <w:rPr>
        <w:rFonts w:ascii="Verdana" w:hAnsi="Verdana" w:cs="Verdana"/>
        <w:sz w:val="18"/>
      </w:rPr>
      <w:instrText>PAGE  \*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2</w:t>
    </w:r>
    <w:r>
      <w:fldChar w:fldCharType="end"/>
    </w:r>
    <w:r>
      <w:rPr>
        <w:rFonts w:ascii="Verdana" w:hAnsi="Verdana" w:cs="Verdana"/>
        <w:sz w:val="18"/>
      </w:rPr>
      <w:t xml:space="preserve"> di </w:t>
    </w:r>
    <w:r>
      <w:fldChar w:fldCharType="begin"/>
    </w:r>
    <w:r>
      <w:rPr>
        <w:rFonts w:ascii="Verdana" w:hAnsi="Verdana" w:cs="Verdana"/>
        <w:sz w:val="18"/>
      </w:rPr>
      <w:instrText>NUMPAGES  \*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61" w:rsidRDefault="00557861">
      <w:pPr>
        <w:spacing w:after="0" w:line="240" w:lineRule="auto"/>
      </w:pPr>
      <w:r>
        <w:separator/>
      </w:r>
    </w:p>
  </w:footnote>
  <w:footnote w:type="continuationSeparator" w:id="0">
    <w:p w:rsidR="00557861" w:rsidRDefault="0055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1950"/>
      <w:gridCol w:w="7938"/>
    </w:tblGrid>
    <w:tr w:rsidR="005E284E">
      <w:tc>
        <w:tcPr>
          <w:tcW w:w="1950" w:type="dxa"/>
          <w:shd w:val="clear" w:color="auto" w:fill="auto"/>
        </w:tcPr>
        <w:p w:rsidR="005E284E" w:rsidRDefault="00557861">
          <w:pPr>
            <w:pStyle w:val="Formale1"/>
            <w:rPr>
              <w:rFonts w:ascii="Swis721 BdOul BT" w:hAnsi="Swis721 BdOul BT" w:cs="Swis721 BdOul BT"/>
              <w:b/>
              <w:sz w:val="84"/>
            </w:rPr>
          </w:pPr>
          <w:r>
            <w:rPr>
              <w:noProof/>
            </w:rPr>
            <w:drawing>
              <wp:inline distT="0" distB="0" distL="0" distR="0">
                <wp:extent cx="942975" cy="100965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</w:tcPr>
        <w:p w:rsidR="005E284E" w:rsidRDefault="00557861">
          <w:pPr>
            <w:pStyle w:val="Formale1"/>
            <w:spacing w:before="0" w:after="0"/>
            <w:jc w:val="center"/>
            <w:rPr>
              <w:rFonts w:ascii="Swis721 BdOul BT" w:hAnsi="Swis721 BdOul BT" w:cs="Swis721 BdOul BT"/>
              <w:b/>
              <w:sz w:val="84"/>
            </w:rPr>
          </w:pPr>
          <w:r>
            <w:rPr>
              <w:rFonts w:ascii="Swis721 BdOul BT" w:hAnsi="Swis721 BdOul BT" w:cs="Swis721 BdOul BT"/>
              <w:b/>
              <w:sz w:val="84"/>
            </w:rPr>
            <w:t>COMUNE di CEVO</w:t>
          </w:r>
        </w:p>
        <w:p w:rsidR="005E284E" w:rsidRDefault="00557861">
          <w:pPr>
            <w:pStyle w:val="Formale1"/>
            <w:spacing w:before="0" w:after="0"/>
            <w:jc w:val="center"/>
            <w:rPr>
              <w:b/>
            </w:rPr>
          </w:pPr>
          <w:r>
            <w:rPr>
              <w:b/>
            </w:rPr>
            <w:t>Provincia di Brescia</w:t>
          </w:r>
        </w:p>
        <w:p w:rsidR="005E284E" w:rsidRDefault="005E284E">
          <w:pPr>
            <w:pStyle w:val="Formale1"/>
            <w:spacing w:before="0" w:after="0"/>
            <w:jc w:val="center"/>
            <w:rPr>
              <w:b/>
              <w:i/>
              <w:sz w:val="28"/>
            </w:rPr>
          </w:pPr>
        </w:p>
      </w:tc>
    </w:tr>
    <w:tr w:rsidR="005E284E">
      <w:tc>
        <w:tcPr>
          <w:tcW w:w="9888" w:type="dxa"/>
          <w:gridSpan w:val="2"/>
          <w:tcBorders>
            <w:bottom w:val="single" w:sz="8" w:space="0" w:color="000000"/>
          </w:tcBorders>
          <w:shd w:val="clear" w:color="auto" w:fill="auto"/>
        </w:tcPr>
        <w:p w:rsidR="005E284E" w:rsidRDefault="00557861">
          <w:pPr>
            <w:pStyle w:val="Formale1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Via Roma, 22  CAP 25040 CEVO - tel.0364/634104 - fax 0364/634357  P.ta IVA 00592090989 - Cod. Fisc. 00959860172</w:t>
          </w:r>
        </w:p>
        <w:p w:rsidR="005E284E" w:rsidRDefault="00557861">
          <w:pPr>
            <w:pStyle w:val="Formale1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e-mail: info@comune.cevo.bs.it</w:t>
          </w:r>
        </w:p>
        <w:p w:rsidR="005E284E" w:rsidRDefault="00557861">
          <w:pPr>
            <w:pStyle w:val="Formale1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www.comune.cevo.bs.it</w:t>
          </w:r>
        </w:p>
      </w:tc>
    </w:tr>
  </w:tbl>
  <w:p w:rsidR="005E284E" w:rsidRDefault="005E284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4E"/>
    <w:rsid w:val="00557861"/>
    <w:rsid w:val="005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00947-0855-445A-A1B5-5F8B7CED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Calibr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itolo">
    <w:name w:val="Title"/>
    <w:basedOn w:val="Normale"/>
    <w:link w:val="TitoloCarattere"/>
    <w:qFormat/>
    <w:pPr>
      <w:spacing w:after="0" w:line="240" w:lineRule="auto"/>
      <w:jc w:val="center"/>
    </w:pPr>
    <w:rPr>
      <w:rFonts w:ascii="Times New Roman" w:hAnsi="Times New Roman" w:cs="Times New Roman"/>
      <w:b/>
      <w:sz w:val="32"/>
    </w:rPr>
  </w:style>
  <w:style w:type="character" w:customStyle="1" w:styleId="TitoloCarattere">
    <w:name w:val="Titolo Carattere"/>
    <w:basedOn w:val="Carpredefinitoparagrafo"/>
    <w:link w:val="Titolo"/>
    <w:rPr>
      <w:rFonts w:ascii="Times New Roman" w:hAnsi="Times New Roman" w:cs="Times New Roman"/>
      <w:b/>
      <w:sz w:val="32"/>
    </w:rPr>
  </w:style>
  <w:style w:type="paragraph" w:customStyle="1" w:styleId="Formale1">
    <w:name w:val="Formale1"/>
    <w:basedOn w:val="Normale"/>
    <w:pPr>
      <w:spacing w:before="60" w:after="60" w:line="240" w:lineRule="auto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Tema di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2019-01-18T13:08:00Z</dcterms:created>
  <dcterms:modified xsi:type="dcterms:W3CDTF">2019-01-18T13:08:00Z</dcterms:modified>
</cp:coreProperties>
</file>