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721" w:rsidRDefault="00584CFD">
      <w:pPr>
        <w:pStyle w:val="NormaleWeb"/>
        <w:jc w:val="center"/>
        <w:rPr>
          <w:rFonts w:ascii="Verdana" w:hAnsi="Verdana" w:cs="Verdana"/>
          <w:sz w:val="18"/>
        </w:rPr>
      </w:pPr>
      <w:bookmarkStart w:id="0" w:name="_GoBack"/>
      <w:bookmarkEnd w:id="0"/>
      <w:r>
        <w:rPr>
          <w:rFonts w:ascii="Verdana" w:hAnsi="Verdana" w:cs="Verdana"/>
          <w:b/>
          <w:sz w:val="21"/>
        </w:rPr>
        <w:t>ELENCO ALLEGATI AL MANUALE DI GESTIONE</w:t>
      </w:r>
    </w:p>
    <w:p w:rsidR="00AD1721" w:rsidRDefault="00584CFD">
      <w:pPr>
        <w:pStyle w:val="NormaleWeb"/>
        <w:jc w:val="center"/>
      </w:pPr>
      <w:r>
        <w:rPr>
          <w:rFonts w:ascii="Verdana" w:hAnsi="Verdana" w:cs="Verdana"/>
          <w:b/>
          <w:sz w:val="21"/>
        </w:rPr>
        <w:t> </w:t>
      </w:r>
    </w:p>
    <w:p w:rsidR="00AD1721" w:rsidRDefault="00584CFD">
      <w:pPr>
        <w:pStyle w:val="NormaleWeb"/>
      </w:pPr>
      <w:r>
        <w:rPr>
          <w:rFonts w:ascii="Verdana" w:hAnsi="Verdana" w:cs="Verdana"/>
          <w:sz w:val="18"/>
        </w:rPr>
        <w:t>- Glossario e normativa di riferimento</w:t>
      </w:r>
    </w:p>
    <w:p w:rsidR="00AD1721" w:rsidRDefault="00584CFD">
      <w:pPr>
        <w:pStyle w:val="NormaleWeb"/>
      </w:pPr>
      <w:r>
        <w:rPr>
          <w:rFonts w:ascii="Verdana" w:hAnsi="Verdana" w:cs="Verdana"/>
          <w:sz w:val="18"/>
        </w:rPr>
        <w:t>- Organigramma</w:t>
      </w:r>
    </w:p>
    <w:p w:rsidR="00AD1721" w:rsidRDefault="00584CFD">
      <w:pPr>
        <w:pStyle w:val="NormaleWeb"/>
      </w:pPr>
      <w:r>
        <w:rPr>
          <w:rFonts w:ascii="Verdana" w:hAnsi="Verdana" w:cs="Verdana"/>
          <w:sz w:val="18"/>
        </w:rPr>
        <w:t>- Atti di istituzione dell’AOO, del Servizio per il protocollo informatico e di nomina dei responsabili</w:t>
      </w:r>
    </w:p>
    <w:p w:rsidR="00AD1721" w:rsidRDefault="00584CFD">
      <w:pPr>
        <w:pStyle w:val="NormaleWeb"/>
      </w:pPr>
      <w:r>
        <w:rPr>
          <w:rFonts w:ascii="Verdana" w:hAnsi="Verdana" w:cs="Verdana"/>
          <w:sz w:val="18"/>
        </w:rPr>
        <w:t>- Abilitazioni al sistema di protocollo </w:t>
      </w:r>
    </w:p>
    <w:p w:rsidR="00AD1721" w:rsidRDefault="00584CFD">
      <w:pPr>
        <w:pStyle w:val="NormaleWeb"/>
      </w:pPr>
      <w:r>
        <w:rPr>
          <w:rFonts w:ascii="Verdana" w:hAnsi="Verdana" w:cs="Verdana"/>
          <w:sz w:val="18"/>
        </w:rPr>
        <w:t xml:space="preserve">- Abilitazioni </w:t>
      </w:r>
      <w:r>
        <w:rPr>
          <w:rFonts w:ascii="Verdana" w:hAnsi="Verdana" w:cs="Verdana"/>
          <w:sz w:val="18"/>
        </w:rPr>
        <w:t>utenti ai software</w:t>
      </w:r>
    </w:p>
    <w:p w:rsidR="00AD1721" w:rsidRDefault="00584CFD">
      <w:pPr>
        <w:rPr>
          <w:rFonts w:ascii="Verdana" w:hAnsi="Verdana" w:cs="Verdana"/>
          <w:sz w:val="18"/>
        </w:rPr>
      </w:pPr>
      <w:r>
        <w:rPr>
          <w:rFonts w:ascii="Verdana" w:hAnsi="Verdana" w:cs="Verdana"/>
          <w:sz w:val="18"/>
        </w:rPr>
        <w:t>- Documenti soggetti a registrazione particolari</w:t>
      </w:r>
    </w:p>
    <w:p w:rsidR="00AD1721" w:rsidRDefault="00584CFD">
      <w:pPr>
        <w:pStyle w:val="NormaleWeb"/>
        <w:rPr>
          <w:rFonts w:ascii="Verdana" w:hAnsi="Verdana" w:cs="Verdana"/>
          <w:sz w:val="18"/>
        </w:rPr>
      </w:pPr>
      <w:r>
        <w:rPr>
          <w:rFonts w:ascii="Verdana" w:hAnsi="Verdana" w:cs="Verdana"/>
          <w:sz w:val="18"/>
        </w:rPr>
        <w:t>- Elenco registri, repertori, albi e elenchi (database)</w:t>
      </w:r>
    </w:p>
    <w:p w:rsidR="00AD1721" w:rsidRDefault="00584CFD">
      <w:pPr>
        <w:rPr>
          <w:rFonts w:ascii="Verdana" w:hAnsi="Verdana" w:cs="Verdana"/>
          <w:sz w:val="18"/>
        </w:rPr>
      </w:pPr>
      <w:r>
        <w:rPr>
          <w:rFonts w:ascii="Verdana" w:hAnsi="Verdana" w:cs="Verdana"/>
          <w:sz w:val="18"/>
        </w:rPr>
        <w:t>- Elenco portali telematici</w:t>
      </w:r>
    </w:p>
    <w:p w:rsidR="00AD1721" w:rsidRDefault="00584CFD">
      <w:pPr>
        <w:pStyle w:val="NormaleWeb"/>
        <w:rPr>
          <w:rFonts w:ascii="Verdana" w:hAnsi="Verdana" w:cs="Verdana"/>
          <w:sz w:val="18"/>
        </w:rPr>
      </w:pPr>
      <w:r>
        <w:rPr>
          <w:rFonts w:ascii="Verdana" w:hAnsi="Verdana" w:cs="Verdana"/>
          <w:sz w:val="18"/>
        </w:rPr>
        <w:t>- Autorizzazioni gestione PEC</w:t>
      </w:r>
    </w:p>
    <w:p w:rsidR="00AD1721" w:rsidRDefault="00584CFD">
      <w:pPr>
        <w:pStyle w:val="NormaleWeb"/>
      </w:pPr>
      <w:r>
        <w:rPr>
          <w:rFonts w:ascii="Verdana" w:hAnsi="Verdana" w:cs="Verdana"/>
          <w:sz w:val="18"/>
        </w:rPr>
        <w:t>- Documenti trasmessi in cooperazione applicativa e interoperabilità (tras</w:t>
      </w:r>
      <w:r>
        <w:rPr>
          <w:rFonts w:ascii="Verdana" w:hAnsi="Verdana" w:cs="Verdana"/>
          <w:sz w:val="18"/>
        </w:rPr>
        <w:t>missioni telematiche)</w:t>
      </w:r>
    </w:p>
    <w:p w:rsidR="00AD1721" w:rsidRDefault="00584CFD">
      <w:pPr>
        <w:pStyle w:val="NormaleWeb"/>
      </w:pPr>
      <w:r>
        <w:rPr>
          <w:rFonts w:ascii="Verdana" w:hAnsi="Verdana" w:cs="Verdana"/>
          <w:sz w:val="18"/>
        </w:rPr>
        <w:t>- Manuale operativo del software di gestione documentale</w:t>
      </w:r>
    </w:p>
    <w:p w:rsidR="00AD1721" w:rsidRDefault="00584CFD">
      <w:pPr>
        <w:pStyle w:val="NormaleWeb"/>
      </w:pPr>
      <w:r>
        <w:rPr>
          <w:rFonts w:ascii="Verdana" w:hAnsi="Verdana" w:cs="Verdana"/>
          <w:sz w:val="18"/>
        </w:rPr>
        <w:t>- Linee guida per l’inserimento e l’aggiornamento dei dati nel protocollo informatico e per la compilazione della banca dati anagrafica</w:t>
      </w:r>
    </w:p>
    <w:p w:rsidR="00AD1721" w:rsidRDefault="00584CFD">
      <w:pPr>
        <w:pStyle w:val="NormaleWeb"/>
      </w:pPr>
      <w:r>
        <w:rPr>
          <w:rFonts w:ascii="Verdana" w:hAnsi="Verdana" w:cs="Verdana"/>
          <w:sz w:val="18"/>
        </w:rPr>
        <w:t>- Linee guida per la formazione e la gest</w:t>
      </w:r>
      <w:r>
        <w:rPr>
          <w:rFonts w:ascii="Verdana" w:hAnsi="Verdana" w:cs="Verdana"/>
          <w:sz w:val="18"/>
        </w:rPr>
        <w:t>ione dei fascicoli e delle aggregazioni documentali informatiche</w:t>
      </w:r>
    </w:p>
    <w:p w:rsidR="00AD1721" w:rsidRDefault="00584CFD">
      <w:pPr>
        <w:pStyle w:val="NormaleWeb"/>
      </w:pPr>
      <w:r>
        <w:rPr>
          <w:rFonts w:ascii="Verdana" w:hAnsi="Verdana" w:cs="Verdana"/>
          <w:sz w:val="18"/>
        </w:rPr>
        <w:t>- Piano per la sicurezza informatica</w:t>
      </w:r>
    </w:p>
    <w:p w:rsidR="00AD1721" w:rsidRDefault="00584CFD">
      <w:pPr>
        <w:pStyle w:val="NormaleWeb"/>
      </w:pPr>
      <w:r>
        <w:rPr>
          <w:rFonts w:ascii="Verdana" w:hAnsi="Verdana" w:cs="Verdana"/>
          <w:sz w:val="18"/>
        </w:rPr>
        <w:t>- Manuale di conservazione</w:t>
      </w:r>
    </w:p>
    <w:p w:rsidR="00AD1721" w:rsidRDefault="00584CFD">
      <w:pPr>
        <w:pStyle w:val="NormaleWeb"/>
      </w:pPr>
      <w:r>
        <w:rPr>
          <w:rFonts w:ascii="Verdana" w:hAnsi="Verdana" w:cs="Verdana"/>
          <w:sz w:val="18"/>
        </w:rPr>
        <w:t>- Linee guida per la gestione degli archivi analogici</w:t>
      </w:r>
    </w:p>
    <w:p w:rsidR="00AD1721" w:rsidRDefault="00584CFD">
      <w:pPr>
        <w:spacing w:after="0"/>
        <w:jc w:val="both"/>
        <w:rPr>
          <w:rFonts w:ascii="Verdana" w:hAnsi="Verdana" w:cs="Verdana"/>
          <w:sz w:val="18"/>
        </w:rPr>
      </w:pPr>
      <w:r>
        <w:rPr>
          <w:rFonts w:ascii="Verdana" w:hAnsi="Verdana" w:cs="Verdana"/>
          <w:sz w:val="18"/>
        </w:rPr>
        <w:t>- Linee guida per la pubblicazione sull'Albo online</w:t>
      </w:r>
    </w:p>
    <w:sectPr w:rsidR="00AD172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268" w:right="851" w:bottom="851" w:left="851" w:header="426" w:footer="1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84CFD">
      <w:pPr>
        <w:spacing w:after="0" w:line="240" w:lineRule="auto"/>
      </w:pPr>
      <w:r>
        <w:separator/>
      </w:r>
    </w:p>
  </w:endnote>
  <w:endnote w:type="continuationSeparator" w:id="0">
    <w:p w:rsidR="00000000" w:rsidRDefault="00584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721" w:rsidRDefault="00AD172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721" w:rsidRDefault="00584CFD">
    <w:pPr>
      <w:pStyle w:val="Pidipagina"/>
      <w:spacing w:after="120"/>
      <w:jc w:val="center"/>
      <w:rPr>
        <w:rFonts w:ascii="Verdana" w:hAnsi="Verdana" w:cs="Verdana"/>
        <w:sz w:val="14"/>
      </w:rPr>
    </w:pPr>
    <w:r>
      <w:rPr>
        <w:rFonts w:ascii="Verdana" w:hAnsi="Verdana" w:cs="Verdana"/>
        <w:sz w:val="18"/>
      </w:rPr>
      <w:t xml:space="preserve">Pagina </w:t>
    </w:r>
    <w:r>
      <w:fldChar w:fldCharType="begin"/>
    </w:r>
    <w:r>
      <w:rPr>
        <w:rFonts w:ascii="Verdana" w:hAnsi="Verdana" w:cs="Verdana"/>
        <w:sz w:val="18"/>
      </w:rPr>
      <w:instrText>PAGE  \* Arabic  \* MERGEFORMAT</w:instrText>
    </w:r>
    <w:r>
      <w:fldChar w:fldCharType="separate"/>
    </w:r>
    <w:r>
      <w:rPr>
        <w:rFonts w:ascii="Verdana" w:hAnsi="Verdana" w:cs="Verdana"/>
        <w:noProof/>
        <w:sz w:val="18"/>
      </w:rPr>
      <w:t>1</w:t>
    </w:r>
    <w:r>
      <w:fldChar w:fldCharType="end"/>
    </w:r>
    <w:r>
      <w:rPr>
        <w:rFonts w:ascii="Verdana" w:hAnsi="Verdana" w:cs="Verdana"/>
        <w:sz w:val="18"/>
      </w:rPr>
      <w:t xml:space="preserve"> di </w:t>
    </w:r>
    <w:r>
      <w:fldChar w:fldCharType="begin"/>
    </w:r>
    <w:r>
      <w:rPr>
        <w:rFonts w:ascii="Verdana" w:hAnsi="Verdana" w:cs="Verdana"/>
        <w:sz w:val="18"/>
      </w:rPr>
      <w:instrText>NUMPAGES  \* Arabic  \* MERGEFORMAT</w:instrText>
    </w:r>
    <w:r>
      <w:fldChar w:fldCharType="separate"/>
    </w:r>
    <w:r>
      <w:rPr>
        <w:rFonts w:ascii="Verdana" w:hAnsi="Verdana" w:cs="Verdana"/>
        <w:noProof/>
        <w:sz w:val="18"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721" w:rsidRDefault="00AD172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584CFD">
      <w:pPr>
        <w:spacing w:after="0" w:line="240" w:lineRule="auto"/>
      </w:pPr>
      <w:r>
        <w:separator/>
      </w:r>
    </w:p>
  </w:footnote>
  <w:footnote w:type="continuationSeparator" w:id="0">
    <w:p w:rsidR="00000000" w:rsidRDefault="00584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721" w:rsidRDefault="00AD172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jc w:val="center"/>
      <w:tblBorders>
        <w:top w:val="nil"/>
        <w:left w:val="nil"/>
        <w:bottom w:val="nil"/>
        <w:right w:val="nil"/>
        <w:insideH w:val="nil"/>
        <w:insideV w:val="nil"/>
      </w:tblBorders>
      <w:tblLook w:val="04A0" w:firstRow="1" w:lastRow="0" w:firstColumn="1" w:lastColumn="0" w:noHBand="0" w:noVBand="1"/>
    </w:tblPr>
    <w:tblGrid>
      <w:gridCol w:w="1371"/>
      <w:gridCol w:w="7911"/>
    </w:tblGrid>
    <w:tr w:rsidR="00AD1721">
      <w:trPr>
        <w:jc w:val="center"/>
      </w:trPr>
      <w:tc>
        <w:tcPr>
          <w:tcW w:w="1276" w:type="dxa"/>
        </w:tcPr>
        <w:p w:rsidR="00AD1721" w:rsidRDefault="00584CFD">
          <w:pPr>
            <w:pStyle w:val="Intestazione"/>
          </w:pPr>
          <w:r>
            <w:rPr>
              <w:noProof/>
            </w:rPr>
            <w:drawing>
              <wp:inline distT="0" distB="0" distL="0" distR="0">
                <wp:extent cx="733425" cy="904875"/>
                <wp:effectExtent l="0" t="0" r="0" b="0"/>
                <wp:docPr id="1" name="Immagine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904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1" w:type="dxa"/>
        </w:tcPr>
        <w:p w:rsidR="00AD1721" w:rsidRDefault="00584CFD">
          <w:pPr>
            <w:tabs>
              <w:tab w:val="left" w:pos="4681"/>
            </w:tabs>
            <w:spacing w:before="35"/>
            <w:jc w:val="center"/>
            <w:rPr>
              <w:rFonts w:ascii="Bookman Old Style" w:hAnsi="Bookman Old Style" w:cs="Bookman Old Style"/>
              <w:b/>
              <w:i/>
              <w:sz w:val="51"/>
            </w:rPr>
          </w:pPr>
          <w:r>
            <w:rPr>
              <w:rFonts w:ascii="Bookman Old Style" w:hAnsi="Bookman Old Style" w:cs="Bookman Old Style"/>
              <w:b/>
              <w:i/>
              <w:color w:val="0A0E21"/>
              <w:sz w:val="51"/>
            </w:rPr>
            <w:t>Comune di Sellero</w:t>
          </w:r>
        </w:p>
        <w:p w:rsidR="00AD1721" w:rsidRDefault="00584CFD">
          <w:pPr>
            <w:spacing w:before="1"/>
            <w:jc w:val="center"/>
            <w:rPr>
              <w:rFonts w:ascii="Bookman Old Style" w:hAnsi="Bookman Old Style" w:cs="Bookman Old Style"/>
              <w:b/>
              <w:sz w:val="39"/>
            </w:rPr>
          </w:pPr>
          <w:r>
            <w:rPr>
              <w:rFonts w:ascii="Bookman Old Style" w:hAnsi="Bookman Old Style" w:cs="Bookman Old Style"/>
              <w:b/>
              <w:i/>
              <w:color w:val="0A0E21"/>
              <w:sz w:val="39"/>
            </w:rPr>
            <w:t>Provincia di Brescia</w:t>
          </w:r>
        </w:p>
        <w:p w:rsidR="00AD1721" w:rsidRDefault="00584CFD">
          <w:pPr>
            <w:spacing w:before="40"/>
            <w:jc w:val="center"/>
            <w:rPr>
              <w:rFonts w:ascii="Bookman Old Style" w:hAnsi="Bookman Old Style" w:cs="Bookman Old Style"/>
              <w:b/>
              <w:sz w:val="21"/>
            </w:rPr>
          </w:pPr>
          <w:r>
            <w:rPr>
              <w:rFonts w:ascii="Bookman Old Style" w:hAnsi="Bookman Old Style" w:cs="Bookman Old Style"/>
              <w:b/>
              <w:i/>
              <w:color w:val="0A0E21"/>
              <w:sz w:val="21"/>
            </w:rPr>
            <w:t xml:space="preserve">Piazza Donatori di Sangue, n. 1 </w:t>
          </w:r>
          <w:r>
            <w:rPr>
              <w:rFonts w:ascii="Bookman Old Style" w:hAnsi="Bookman Old Style" w:cs="Bookman Old Style"/>
              <w:b/>
              <w:color w:val="1C233B"/>
              <w:sz w:val="21"/>
            </w:rPr>
            <w:t xml:space="preserve">- </w:t>
          </w:r>
          <w:r>
            <w:rPr>
              <w:rFonts w:ascii="Bookman Old Style" w:hAnsi="Bookman Old Style" w:cs="Bookman Old Style"/>
              <w:b/>
              <w:i/>
              <w:color w:val="0A0E21"/>
              <w:sz w:val="21"/>
            </w:rPr>
            <w:t>25050 Sellero (</w:t>
          </w:r>
          <w:proofErr w:type="spellStart"/>
          <w:r>
            <w:rPr>
              <w:rFonts w:ascii="Bookman Old Style" w:hAnsi="Bookman Old Style" w:cs="Bookman Old Style"/>
              <w:b/>
              <w:i/>
              <w:color w:val="0A0E21"/>
              <w:sz w:val="21"/>
            </w:rPr>
            <w:t>Bs</w:t>
          </w:r>
          <w:proofErr w:type="spellEnd"/>
          <w:r>
            <w:rPr>
              <w:rFonts w:ascii="Bookman Old Style" w:hAnsi="Bookman Old Style" w:cs="Bookman Old Style"/>
              <w:b/>
              <w:i/>
              <w:color w:val="0A0E21"/>
              <w:sz w:val="21"/>
            </w:rPr>
            <w:t>)</w:t>
          </w:r>
        </w:p>
      </w:tc>
    </w:tr>
  </w:tbl>
  <w:p w:rsidR="00AD1721" w:rsidRDefault="00AD172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721" w:rsidRDefault="00AD172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721"/>
    <w:rsid w:val="00584CFD"/>
    <w:rsid w:val="00AD1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A086D2-1378-463E-8126-BC550608B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Calibri"/>
        <w:sz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paragraph" w:styleId="Titolo">
    <w:name w:val="Title"/>
    <w:basedOn w:val="Normale"/>
    <w:link w:val="TitoloCarattere"/>
    <w:qFormat/>
    <w:pPr>
      <w:spacing w:after="0" w:line="240" w:lineRule="auto"/>
      <w:jc w:val="center"/>
    </w:pPr>
    <w:rPr>
      <w:rFonts w:ascii="Times New Roman" w:hAnsi="Times New Roman" w:cs="Times New Roman"/>
      <w:b/>
      <w:sz w:val="32"/>
    </w:rPr>
  </w:style>
  <w:style w:type="character" w:customStyle="1" w:styleId="TitoloCarattere">
    <w:name w:val="Titolo Carattere"/>
    <w:basedOn w:val="Carpredefinitoparagrafo"/>
    <w:link w:val="Titolo"/>
    <w:rPr>
      <w:rFonts w:ascii="Times New Roman" w:hAnsi="Times New Roman" w:cs="Times New Roman"/>
      <w:b/>
      <w:sz w:val="32"/>
    </w:rPr>
  </w:style>
  <w:style w:type="paragraph" w:customStyle="1" w:styleId="Formale1">
    <w:name w:val="Formale1"/>
    <w:basedOn w:val="Normale"/>
    <w:pPr>
      <w:spacing w:before="60" w:after="60" w:line="240" w:lineRule="auto"/>
    </w:pPr>
    <w:rPr>
      <w:rFonts w:ascii="Times New Roman" w:hAnsi="Times New Roman" w:cs="Times New Roman"/>
      <w:sz w:val="24"/>
    </w:rPr>
  </w:style>
  <w:style w:type="table" w:styleId="Grigliatabella">
    <w:name w:val="Table Grid"/>
    <w:basedOn w:val="Tabellanormale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Tema di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Alessandra Fasano</dc:creator>
  <cp:lastModifiedBy>Alessandra Fasano</cp:lastModifiedBy>
  <cp:revision>2</cp:revision>
  <dcterms:created xsi:type="dcterms:W3CDTF">2017-10-06T14:41:00Z</dcterms:created>
  <dcterms:modified xsi:type="dcterms:W3CDTF">2017-10-06T14:41:00Z</dcterms:modified>
</cp:coreProperties>
</file>