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F39" w:rsidRDefault="009642C8">
      <w:pPr>
        <w:pStyle w:val="NormaleWeb"/>
        <w:jc w:val="center"/>
        <w:rPr>
          <w:rFonts w:ascii="Verdana" w:hAnsi="Verdana" w:cs="Verdana"/>
          <w:sz w:val="18"/>
        </w:rPr>
      </w:pPr>
      <w:r>
        <w:rPr>
          <w:rFonts w:ascii="Verdana" w:hAnsi="Verdana" w:cs="Verdana"/>
          <w:b/>
          <w:sz w:val="30"/>
        </w:rPr>
        <w:t>Linee guida per la gestione degli archivi analogici</w:t>
      </w:r>
    </w:p>
    <w:p w:rsidR="00195F39" w:rsidRDefault="009642C8">
      <w:pPr>
        <w:pStyle w:val="NormaleWeb"/>
        <w:jc w:val="center"/>
      </w:pPr>
      <w:r>
        <w:rPr>
          <w:rFonts w:ascii="Verdana" w:hAnsi="Verdana" w:cs="Verdana"/>
          <w:b/>
          <w:sz w:val="30"/>
        </w:rPr>
        <w:t> </w:t>
      </w:r>
    </w:p>
    <w:p w:rsidR="00195F39" w:rsidRDefault="009642C8">
      <w:pPr>
        <w:pStyle w:val="NormaleWeb"/>
        <w:jc w:val="center"/>
      </w:pPr>
      <w:r>
        <w:rPr>
          <w:rFonts w:ascii="Verdana" w:hAnsi="Verdana" w:cs="Verdana"/>
          <w:b/>
          <w:sz w:val="18"/>
        </w:rPr>
        <w:t> </w:t>
      </w:r>
    </w:p>
    <w:p w:rsidR="00195F39" w:rsidRDefault="009642C8">
      <w:pPr>
        <w:pStyle w:val="NormaleWeb"/>
      </w:pPr>
      <w:r>
        <w:rPr>
          <w:rFonts w:ascii="Verdana" w:hAnsi="Verdana" w:cs="Verdana"/>
          <w:b/>
          <w:sz w:val="18"/>
        </w:rPr>
        <w:t>1. Composizione</w:t>
      </w:r>
    </w:p>
    <w:p w:rsidR="00195F39" w:rsidRDefault="009642C8">
      <w:pPr>
        <w:pStyle w:val="NormaleWeb"/>
        <w:jc w:val="both"/>
      </w:pPr>
      <w:r>
        <w:rPr>
          <w:rFonts w:ascii="Verdana" w:hAnsi="Verdana" w:cs="Verdana"/>
          <w:sz w:val="18"/>
        </w:rPr>
        <w:t>Le presenti linee guida sono composte oltre che dai seguenti articoli, dal Piano di classificazione (Titolario) e dal Piano di conservazione (Massimario di scarto) per gli archivi dei</w:t>
      </w:r>
      <w:r>
        <w:rPr>
          <w:rFonts w:ascii="Verdana" w:hAnsi="Verdana" w:cs="Verdana"/>
          <w:sz w:val="18"/>
        </w:rPr>
        <w:t xml:space="preserve"> Comuni italiani (ed. 2005).</w:t>
      </w:r>
    </w:p>
    <w:p w:rsidR="00195F39" w:rsidRDefault="009642C8">
      <w:pPr>
        <w:pStyle w:val="NormaleWeb"/>
      </w:pPr>
      <w:r>
        <w:rPr>
          <w:rFonts w:ascii="Verdana" w:hAnsi="Verdana" w:cs="Verdana"/>
          <w:b/>
          <w:sz w:val="18"/>
        </w:rPr>
        <w:t>2. Responsabilità della Conservazione</w:t>
      </w:r>
    </w:p>
    <w:p w:rsidR="00195F39" w:rsidRDefault="009642C8">
      <w:pPr>
        <w:pStyle w:val="NormaleWeb"/>
        <w:jc w:val="both"/>
      </w:pPr>
      <w:r>
        <w:rPr>
          <w:rFonts w:ascii="Verdana" w:hAnsi="Verdana" w:cs="Verdana"/>
          <w:sz w:val="18"/>
        </w:rPr>
        <w:t>I documenti del Comune di Sellero sono conservati a cura del Servizio archivistico per la tenuta del protocollo informatico, dei flussi documentali e degli archivi, d’ora in poi Servizio pe</w:t>
      </w:r>
      <w:r>
        <w:rPr>
          <w:rFonts w:ascii="Verdana" w:hAnsi="Verdana" w:cs="Verdana"/>
          <w:sz w:val="18"/>
        </w:rPr>
        <w:t>r il protocollo informatico. La documentazione analogica corrente è conservata presso gli uffici a cura dei responsabili degli stessi fino al trasferimento in archivio di deposito, secondo quanto previsto dagli articoli del presente piano.</w:t>
      </w:r>
    </w:p>
    <w:p w:rsidR="00195F39" w:rsidRDefault="009642C8">
      <w:pPr>
        <w:pStyle w:val="NormaleWeb"/>
      </w:pPr>
      <w:r>
        <w:rPr>
          <w:rFonts w:ascii="Verdana" w:hAnsi="Verdana" w:cs="Verdana"/>
          <w:b/>
          <w:sz w:val="18"/>
        </w:rPr>
        <w:t>3. Locali di con</w:t>
      </w:r>
      <w:r>
        <w:rPr>
          <w:rFonts w:ascii="Verdana" w:hAnsi="Verdana" w:cs="Verdana"/>
          <w:b/>
          <w:sz w:val="18"/>
        </w:rPr>
        <w:t>servazione</w:t>
      </w:r>
    </w:p>
    <w:p w:rsidR="00195F39" w:rsidRDefault="009642C8">
      <w:pPr>
        <w:pStyle w:val="NormaleWeb"/>
        <w:jc w:val="both"/>
      </w:pPr>
      <w:r>
        <w:rPr>
          <w:rFonts w:ascii="Verdana" w:hAnsi="Verdana" w:cs="Verdana"/>
          <w:sz w:val="18"/>
        </w:rPr>
        <w:t>La documentazione analogica appartenente all'archivio storico e di deposito del Comune di Sellero è conservata presso i seguenti locali:</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183"/>
        <w:gridCol w:w="1476"/>
        <w:gridCol w:w="2295"/>
        <w:gridCol w:w="5234"/>
      </w:tblGrid>
      <w:tr w:rsidR="00195F39" w:rsidTr="009642C8">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b/>
                <w:sz w:val="18"/>
              </w:rPr>
            </w:pPr>
            <w:r>
              <w:rPr>
                <w:rFonts w:ascii="Verdana" w:hAnsi="Verdana" w:cs="Verdana"/>
                <w:b/>
                <w:sz w:val="18"/>
              </w:rPr>
              <w:t>Sede</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b/>
                <w:sz w:val="18"/>
              </w:rPr>
            </w:pPr>
            <w:r>
              <w:rPr>
                <w:rFonts w:ascii="Verdana" w:hAnsi="Verdana" w:cs="Verdana"/>
                <w:b/>
                <w:sz w:val="18"/>
              </w:rPr>
              <w:t>Ubicazione</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b/>
                <w:sz w:val="18"/>
              </w:rPr>
            </w:pPr>
            <w:r>
              <w:rPr>
                <w:rFonts w:ascii="Verdana" w:hAnsi="Verdana" w:cs="Verdana"/>
                <w:b/>
                <w:sz w:val="18"/>
              </w:rPr>
              <w:t>Locale</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b/>
                <w:sz w:val="18"/>
              </w:rPr>
            </w:pPr>
            <w:r>
              <w:rPr>
                <w:rFonts w:ascii="Verdana" w:hAnsi="Verdana" w:cs="Verdana"/>
                <w:b/>
                <w:sz w:val="18"/>
              </w:rPr>
              <w:t>Descrizione materiale conservato</w:t>
            </w:r>
          </w:p>
        </w:tc>
      </w:tr>
      <w:tr w:rsidR="00195F39" w:rsidTr="009642C8">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b/>
                <w:sz w:val="18"/>
              </w:rPr>
            </w:pPr>
            <w:r>
              <w:rPr>
                <w:rFonts w:ascii="Verdana" w:hAnsi="Verdana" w:cs="Verdana"/>
                <w:b/>
                <w:sz w:val="18"/>
              </w:rPr>
              <w:t>Municipio</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sz w:val="18"/>
              </w:rPr>
            </w:pPr>
            <w:r>
              <w:rPr>
                <w:rFonts w:ascii="Verdana" w:hAnsi="Verdana" w:cs="Verdana"/>
                <w:sz w:val="18"/>
              </w:rPr>
              <w:t>Piano interrato</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sz w:val="18"/>
              </w:rPr>
            </w:pPr>
            <w:r>
              <w:rPr>
                <w:rFonts w:ascii="Verdana" w:hAnsi="Verdana" w:cs="Verdana"/>
                <w:sz w:val="18"/>
              </w:rPr>
              <w:t>Locale Archivio</w:t>
            </w:r>
            <w:bookmarkStart w:id="0" w:name="_GoBack"/>
            <w:bookmarkEnd w:id="0"/>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sz w:val="18"/>
              </w:rPr>
            </w:pPr>
            <w:r>
              <w:rPr>
                <w:rFonts w:ascii="Verdana" w:hAnsi="Verdana" w:cs="Verdana"/>
                <w:sz w:val="18"/>
              </w:rPr>
              <w:t xml:space="preserve">Archivio </w:t>
            </w:r>
            <w:r>
              <w:rPr>
                <w:rFonts w:ascii="Verdana" w:hAnsi="Verdana" w:cs="Verdana"/>
                <w:sz w:val="18"/>
              </w:rPr>
              <w:t>storico comunale dal 1819 e archivio di deposito; archivi aggregati</w:t>
            </w:r>
          </w:p>
        </w:tc>
      </w:tr>
      <w:tr w:rsidR="00195F39" w:rsidTr="009642C8">
        <w:tc>
          <w:tcPr>
            <w:tcW w:w="0" w:type="auto"/>
            <w:tcBorders>
              <w:top w:val="single" w:sz="6" w:space="0" w:color="000000"/>
              <w:left w:val="single" w:sz="6" w:space="0" w:color="000000"/>
              <w:bottom w:val="single" w:sz="6" w:space="0" w:color="000000"/>
              <w:right w:val="single" w:sz="6" w:space="0" w:color="000000"/>
            </w:tcBorders>
            <w:vAlign w:val="center"/>
          </w:tcPr>
          <w:p w:rsidR="00195F39" w:rsidRPr="009642C8" w:rsidRDefault="009642C8">
            <w:pPr>
              <w:rPr>
                <w:rFonts w:ascii="Verdana" w:hAnsi="Verdana" w:cs="Verdana"/>
                <w:b/>
                <w:sz w:val="18"/>
              </w:rPr>
            </w:pPr>
            <w:r w:rsidRPr="009642C8">
              <w:rPr>
                <w:rFonts w:ascii="Verdana" w:hAnsi="Verdana" w:cs="Verdana"/>
                <w:b/>
                <w:sz w:val="18"/>
              </w:rPr>
              <w:t>Municipio</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Pr="009642C8" w:rsidRDefault="009642C8">
            <w:pPr>
              <w:rPr>
                <w:rFonts w:ascii="Verdana" w:hAnsi="Verdana" w:cs="Verdana"/>
                <w:sz w:val="18"/>
              </w:rPr>
            </w:pPr>
            <w:r w:rsidRPr="009642C8">
              <w:rPr>
                <w:rFonts w:ascii="Verdana" w:hAnsi="Verdana" w:cs="Verdana"/>
                <w:sz w:val="18"/>
              </w:rPr>
              <w:t>Secondo piano</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sz w:val="18"/>
              </w:rPr>
            </w:pPr>
            <w:r>
              <w:rPr>
                <w:rFonts w:ascii="Verdana" w:hAnsi="Verdana" w:cs="Verdana"/>
                <w:sz w:val="18"/>
              </w:rPr>
              <w:t>Locale Archivio Ufficio Tecnico</w:t>
            </w:r>
          </w:p>
        </w:tc>
        <w:tc>
          <w:tcPr>
            <w:tcW w:w="0" w:type="auto"/>
            <w:tcBorders>
              <w:top w:val="single" w:sz="6" w:space="0" w:color="000000"/>
              <w:left w:val="single" w:sz="6" w:space="0" w:color="000000"/>
              <w:bottom w:val="single" w:sz="6" w:space="0" w:color="000000"/>
              <w:right w:val="single" w:sz="6" w:space="0" w:color="000000"/>
            </w:tcBorders>
            <w:vAlign w:val="center"/>
          </w:tcPr>
          <w:p w:rsidR="00195F39" w:rsidRDefault="009642C8">
            <w:pPr>
              <w:rPr>
                <w:rFonts w:ascii="Verdana" w:hAnsi="Verdana" w:cs="Verdana"/>
                <w:sz w:val="18"/>
              </w:rPr>
            </w:pPr>
            <w:r>
              <w:rPr>
                <w:rFonts w:ascii="Verdana" w:hAnsi="Verdana" w:cs="Verdana"/>
                <w:sz w:val="18"/>
              </w:rPr>
              <w:t>Pratiche edilizia privata e ufficio tecnico di deposito</w:t>
            </w:r>
          </w:p>
        </w:tc>
      </w:tr>
    </w:tbl>
    <w:p w:rsidR="00195F39" w:rsidRDefault="009642C8">
      <w:pPr>
        <w:pStyle w:val="NormaleWeb"/>
        <w:jc w:val="both"/>
      </w:pPr>
      <w:r>
        <w:rPr>
          <w:rFonts w:ascii="Verdana" w:hAnsi="Verdana" w:cs="Verdana"/>
          <w:sz w:val="18"/>
        </w:rPr>
        <w:t>Presso gli uffici e i locali adiacenti sono conservate alcune serie particolari.</w:t>
      </w:r>
    </w:p>
    <w:p w:rsidR="00195F39" w:rsidRDefault="009642C8">
      <w:pPr>
        <w:pStyle w:val="NormaleWeb"/>
      </w:pPr>
      <w:r>
        <w:rPr>
          <w:rFonts w:ascii="Verdana" w:hAnsi="Verdana" w:cs="Verdana"/>
          <w:b/>
          <w:sz w:val="18"/>
        </w:rPr>
        <w:t xml:space="preserve">4. </w:t>
      </w:r>
      <w:r>
        <w:rPr>
          <w:rFonts w:ascii="Verdana" w:hAnsi="Verdana" w:cs="Verdana"/>
          <w:b/>
          <w:sz w:val="18"/>
        </w:rPr>
        <w:t>Versamento delle unità archivistiche analogiche in archivio</w:t>
      </w:r>
    </w:p>
    <w:p w:rsidR="00195F39" w:rsidRDefault="009642C8">
      <w:pPr>
        <w:pStyle w:val="NormaleWeb"/>
        <w:jc w:val="both"/>
      </w:pPr>
      <w:r>
        <w:rPr>
          <w:rFonts w:ascii="Verdana" w:hAnsi="Verdana" w:cs="Verdana"/>
          <w:sz w:val="18"/>
        </w:rPr>
        <w:t>Si trasferiscono nell’archivio di deposito solo i fascicoli cartacei che corrispondono ad affari o procedimenti conclusi. I fascicoli relativi ad oggetti in corso di trattazione, nonché di norma i</w:t>
      </w:r>
      <w:r>
        <w:rPr>
          <w:rFonts w:ascii="Verdana" w:hAnsi="Verdana" w:cs="Verdana"/>
          <w:sz w:val="18"/>
        </w:rPr>
        <w:t xml:space="preserve"> fascicoli conclusi nell’anno corrente e nell’anno precedente sono conservati presso gli uffici. Gli uffici produttori predispongono le unità archivistiche da trasferire nei locali adibiti ad archivio, come indicato nell’articolo seguente. I servizi/uffici</w:t>
      </w:r>
      <w:r>
        <w:rPr>
          <w:rFonts w:ascii="Verdana" w:hAnsi="Verdana" w:cs="Verdana"/>
          <w:sz w:val="18"/>
        </w:rPr>
        <w:t xml:space="preserve"> versanti sono responsabili del buon ordine della documentazione consegnata.</w:t>
      </w:r>
    </w:p>
    <w:p w:rsidR="00195F39" w:rsidRDefault="009642C8">
      <w:pPr>
        <w:pStyle w:val="NormaleWeb"/>
      </w:pPr>
      <w:r>
        <w:rPr>
          <w:rFonts w:ascii="Verdana" w:hAnsi="Verdana" w:cs="Verdana"/>
          <w:b/>
          <w:sz w:val="18"/>
        </w:rPr>
        <w:t>5. Procedure per il versamento della documentazione nell’archivio di deposito</w:t>
      </w:r>
    </w:p>
    <w:p w:rsidR="00195F39" w:rsidRDefault="009642C8">
      <w:pPr>
        <w:pStyle w:val="NormaleWeb"/>
        <w:jc w:val="both"/>
      </w:pPr>
      <w:r>
        <w:rPr>
          <w:rFonts w:ascii="Verdana" w:hAnsi="Verdana" w:cs="Verdana"/>
          <w:sz w:val="18"/>
        </w:rPr>
        <w:t>Le operazioni di individuazione del materiale da trasferire in archivio sono svolte dagli uffici resp</w:t>
      </w:r>
      <w:r>
        <w:rPr>
          <w:rFonts w:ascii="Verdana" w:hAnsi="Verdana" w:cs="Verdana"/>
          <w:sz w:val="18"/>
        </w:rPr>
        <w:t>onsabili della documentazione. Ogni ufficio provvede ad identificare la documentazione da trasferire in base alle esigenze di servizio. Non devono essere trasferiti faldoni o altri contenitori contenenti:</w:t>
      </w:r>
    </w:p>
    <w:p w:rsidR="00195F39" w:rsidRDefault="009642C8">
      <w:pPr>
        <w:pStyle w:val="NormaleWeb"/>
        <w:numPr>
          <w:ilvl w:val="0"/>
          <w:numId w:val="1"/>
        </w:numPr>
      </w:pPr>
      <w:r>
        <w:rPr>
          <w:rFonts w:ascii="Verdana" w:hAnsi="Verdana" w:cs="Verdana"/>
          <w:sz w:val="18"/>
        </w:rPr>
        <w:t>esclusivamente copie di documentazione di competenz</w:t>
      </w:r>
      <w:r>
        <w:rPr>
          <w:rFonts w:ascii="Verdana" w:hAnsi="Verdana" w:cs="Verdana"/>
          <w:sz w:val="18"/>
        </w:rPr>
        <w:t>a di altri servizi (esempio: copie di deliberazioni o determinazioni, copie di circolari, copie di fatture);</w:t>
      </w:r>
    </w:p>
    <w:p w:rsidR="00195F39" w:rsidRDefault="009642C8">
      <w:pPr>
        <w:pStyle w:val="NormaleWeb"/>
        <w:numPr>
          <w:ilvl w:val="0"/>
          <w:numId w:val="1"/>
        </w:numPr>
      </w:pPr>
      <w:r>
        <w:rPr>
          <w:rFonts w:ascii="Verdana" w:hAnsi="Verdana" w:cs="Verdana"/>
          <w:sz w:val="18"/>
        </w:rPr>
        <w:t>tabulati e stampe di programmi necessari alle attività lavorative quotidiane, ma privi di qualunque valore giuridico/probatorio;</w:t>
      </w:r>
    </w:p>
    <w:p w:rsidR="00195F39" w:rsidRDefault="009642C8">
      <w:pPr>
        <w:pStyle w:val="NormaleWeb"/>
        <w:numPr>
          <w:ilvl w:val="0"/>
          <w:numId w:val="1"/>
        </w:numPr>
      </w:pPr>
      <w:r>
        <w:rPr>
          <w:rFonts w:ascii="Verdana" w:hAnsi="Verdana" w:cs="Verdana"/>
          <w:sz w:val="18"/>
        </w:rPr>
        <w:t>modulistica;</w:t>
      </w:r>
    </w:p>
    <w:p w:rsidR="00195F39" w:rsidRDefault="009642C8">
      <w:pPr>
        <w:pStyle w:val="NormaleWeb"/>
        <w:numPr>
          <w:ilvl w:val="0"/>
          <w:numId w:val="1"/>
        </w:numPr>
      </w:pPr>
      <w:r>
        <w:rPr>
          <w:rFonts w:ascii="Verdana" w:hAnsi="Verdana" w:cs="Verdana"/>
          <w:sz w:val="18"/>
        </w:rPr>
        <w:t>mater</w:t>
      </w:r>
      <w:r>
        <w:rPr>
          <w:rFonts w:ascii="Verdana" w:hAnsi="Verdana" w:cs="Verdana"/>
          <w:sz w:val="18"/>
        </w:rPr>
        <w:t>iale pubblicitario che non sia parte integrante di un procedimento;</w:t>
      </w:r>
    </w:p>
    <w:p w:rsidR="00195F39" w:rsidRDefault="009642C8">
      <w:pPr>
        <w:pStyle w:val="NormaleWeb"/>
        <w:numPr>
          <w:ilvl w:val="0"/>
          <w:numId w:val="1"/>
        </w:numPr>
      </w:pPr>
      <w:r>
        <w:rPr>
          <w:rFonts w:ascii="Verdana" w:hAnsi="Verdana" w:cs="Verdana"/>
          <w:sz w:val="18"/>
        </w:rPr>
        <w:lastRenderedPageBreak/>
        <w:t>pubblicazioni di ogni genere che non siano parte integrante di un procedimento, sia prodotte dal Comune stesso, sia ricevute da altri enti.</w:t>
      </w:r>
    </w:p>
    <w:p w:rsidR="00195F39" w:rsidRDefault="009642C8">
      <w:pPr>
        <w:pStyle w:val="NormaleWeb"/>
        <w:jc w:val="both"/>
      </w:pPr>
      <w:r>
        <w:rPr>
          <w:rFonts w:ascii="Verdana" w:hAnsi="Verdana" w:cs="Verdana"/>
          <w:sz w:val="18"/>
        </w:rPr>
        <w:t>Prima del versamento devono essere eliminati dai</w:t>
      </w:r>
      <w:r>
        <w:rPr>
          <w:rFonts w:ascii="Verdana" w:hAnsi="Verdana" w:cs="Verdana"/>
          <w:sz w:val="18"/>
        </w:rPr>
        <w:t xml:space="preserve"> fascicoli cartacei appunti, fotocopie in eccesso, documentazione inutile, nonché graffette, elastici e buste di plastica. I faldoni da trasferire, infine, devono essere per quanto possibile “compattati”, evitando cioè di archiviare in faldoni di grandi di</w:t>
      </w:r>
      <w:r>
        <w:rPr>
          <w:rFonts w:ascii="Verdana" w:hAnsi="Verdana" w:cs="Verdana"/>
          <w:sz w:val="18"/>
        </w:rPr>
        <w:t>mensioni un numero esiguo di documenti e procedendo eventualmente all’accorpamento di questi ultimi in un unico nuovo faldone. I documenti devono essere condizionati in faldoni riportanti i seguenti dati:</w:t>
      </w:r>
    </w:p>
    <w:p w:rsidR="00195F39" w:rsidRDefault="009642C8">
      <w:pPr>
        <w:pStyle w:val="NormaleWeb"/>
        <w:numPr>
          <w:ilvl w:val="0"/>
          <w:numId w:val="2"/>
        </w:numPr>
      </w:pPr>
      <w:r>
        <w:rPr>
          <w:rFonts w:ascii="Verdana" w:hAnsi="Verdana" w:cs="Verdana"/>
          <w:sz w:val="18"/>
        </w:rPr>
        <w:t>ufficio produttore</w:t>
      </w:r>
    </w:p>
    <w:p w:rsidR="00195F39" w:rsidRDefault="009642C8">
      <w:pPr>
        <w:pStyle w:val="NormaleWeb"/>
        <w:numPr>
          <w:ilvl w:val="0"/>
          <w:numId w:val="2"/>
        </w:numPr>
      </w:pPr>
      <w:r>
        <w:rPr>
          <w:rFonts w:ascii="Verdana" w:hAnsi="Verdana" w:cs="Verdana"/>
          <w:sz w:val="18"/>
        </w:rPr>
        <w:t>classificazione</w:t>
      </w:r>
    </w:p>
    <w:p w:rsidR="00195F39" w:rsidRDefault="009642C8">
      <w:pPr>
        <w:pStyle w:val="NormaleWeb"/>
        <w:numPr>
          <w:ilvl w:val="0"/>
          <w:numId w:val="2"/>
        </w:numPr>
      </w:pPr>
      <w:r>
        <w:rPr>
          <w:rFonts w:ascii="Verdana" w:hAnsi="Verdana" w:cs="Verdana"/>
          <w:sz w:val="18"/>
        </w:rPr>
        <w:t>oggetto/descrizi</w:t>
      </w:r>
      <w:r>
        <w:rPr>
          <w:rFonts w:ascii="Verdana" w:hAnsi="Verdana" w:cs="Verdana"/>
          <w:sz w:val="18"/>
        </w:rPr>
        <w:t>one</w:t>
      </w:r>
    </w:p>
    <w:p w:rsidR="00195F39" w:rsidRDefault="009642C8">
      <w:pPr>
        <w:pStyle w:val="NormaleWeb"/>
        <w:numPr>
          <w:ilvl w:val="0"/>
          <w:numId w:val="2"/>
        </w:numPr>
      </w:pPr>
      <w:r>
        <w:rPr>
          <w:rFonts w:ascii="Verdana" w:hAnsi="Verdana" w:cs="Verdana"/>
          <w:sz w:val="18"/>
        </w:rPr>
        <w:t>anno/i di riferimento</w:t>
      </w:r>
    </w:p>
    <w:p w:rsidR="00195F39" w:rsidRDefault="009642C8">
      <w:pPr>
        <w:pStyle w:val="NormaleWeb"/>
      </w:pPr>
      <w:r>
        <w:rPr>
          <w:rFonts w:ascii="Verdana" w:hAnsi="Verdana" w:cs="Verdana"/>
          <w:b/>
          <w:sz w:val="18"/>
        </w:rPr>
        <w:t>6. Selezione e scarto</w:t>
      </w:r>
    </w:p>
    <w:p w:rsidR="00195F39" w:rsidRDefault="009642C8">
      <w:pPr>
        <w:pStyle w:val="NormaleWeb"/>
        <w:jc w:val="both"/>
      </w:pPr>
      <w:r>
        <w:rPr>
          <w:rFonts w:ascii="Verdana" w:hAnsi="Verdana" w:cs="Verdana"/>
          <w:sz w:val="18"/>
        </w:rPr>
        <w:t xml:space="preserve">La procedura di scarto consente di selezionare ed eliminare la documentazione per la quale il tempo di conservazione è ormai concluso in quanto ha esaurito la sua utilità giuridico-amministrativa e non ha </w:t>
      </w:r>
      <w:r>
        <w:rPr>
          <w:rFonts w:ascii="Verdana" w:hAnsi="Verdana" w:cs="Verdana"/>
          <w:sz w:val="18"/>
        </w:rPr>
        <w:t>assunto alcun apprezzabile interesse storico. I termini di conservazione si calcolano dalla data di chiusura della trattazione della pratica. La procedura di selezione e scarto è di competenza del responsabile della gestione documentale. L’operazione è sub</w:t>
      </w:r>
      <w:r>
        <w:rPr>
          <w:rFonts w:ascii="Verdana" w:hAnsi="Verdana" w:cs="Verdana"/>
          <w:sz w:val="18"/>
        </w:rPr>
        <w:t>ordinata al nulla osta da parte della Soprintendenza Archivistica per la Lombardia. Si sottolinea che l’autorizzazione del Soprintendente non sana l’illegittimità e la relativa responsabilità amministrativa di scarti prematuri di atti. Lo strumento per eff</w:t>
      </w:r>
      <w:r>
        <w:rPr>
          <w:rFonts w:ascii="Verdana" w:hAnsi="Verdana" w:cs="Verdana"/>
          <w:sz w:val="18"/>
        </w:rPr>
        <w:t>ettuare correttamente lo scarto è costituito Piano di conservazione (Massimario di scarto) per gli archivi dei Comuni italiani (ed. 2005), nel quale sono riportati i tempi minimi di conservazione relativi alle diverse tipologie documentarie. Possono essere</w:t>
      </w:r>
      <w:r>
        <w:rPr>
          <w:rFonts w:ascii="Verdana" w:hAnsi="Verdana" w:cs="Verdana"/>
          <w:sz w:val="18"/>
        </w:rPr>
        <w:t xml:space="preserve"> eliminati senza autorizzazione: stampati e modulistica non compilata o scaduta, Gazzette Ufficiali, Bollettini Ufficiali della Regione, periodici, riviste, fotocopie del medesimo documento contenute in un fascicolo, materiale pubblicitario non facente par</w:t>
      </w:r>
      <w:r>
        <w:rPr>
          <w:rFonts w:ascii="Verdana" w:hAnsi="Verdana" w:cs="Verdana"/>
          <w:sz w:val="18"/>
        </w:rPr>
        <w:t>te di procedimenti amministrativi.</w:t>
      </w:r>
    </w:p>
    <w:p w:rsidR="00195F39" w:rsidRDefault="009642C8">
      <w:pPr>
        <w:pStyle w:val="NormaleWeb"/>
      </w:pPr>
      <w:r>
        <w:rPr>
          <w:rFonts w:ascii="Verdana" w:hAnsi="Verdana" w:cs="Verdana"/>
          <w:b/>
          <w:sz w:val="18"/>
        </w:rPr>
        <w:t>7. Procedure di scarto</w:t>
      </w:r>
    </w:p>
    <w:p w:rsidR="00195F39" w:rsidRDefault="009642C8">
      <w:pPr>
        <w:pStyle w:val="NormaleWeb"/>
        <w:jc w:val="both"/>
      </w:pPr>
      <w:r>
        <w:rPr>
          <w:rFonts w:ascii="Verdana" w:hAnsi="Verdana" w:cs="Verdana"/>
          <w:sz w:val="18"/>
        </w:rPr>
        <w:t xml:space="preserve">Le operazioni di individuazione del materiale da proporre per lo scarto sono svolte del responsabile della gestione documentale o persona da quest’ultimo individuata in collaborazione con i </w:t>
      </w:r>
      <w:r>
        <w:rPr>
          <w:rFonts w:ascii="Verdana" w:hAnsi="Verdana" w:cs="Verdana"/>
          <w:sz w:val="18"/>
        </w:rPr>
        <w:t>Responsabili dei servizi/uffici, sulla base del Piano di conservazione (Massimario di scarto) per gli archivi dei Comuni italiani (ed. 2005). Spetta comunque al Responsabile del servizio verificare oltre il tempo di conservazione previsto per singola tipol</w:t>
      </w:r>
      <w:r>
        <w:rPr>
          <w:rFonts w:ascii="Verdana" w:hAnsi="Verdana" w:cs="Verdana"/>
          <w:sz w:val="18"/>
        </w:rPr>
        <w:t>ogia documentale di cui si propone lo scarto, che non vi siano particolari esigenze di servizio per cui sono necessari tempi di conservazione dei documenti più lunghi. Individuati i documenti da scartare si procede alla compilazione della Proposta di scart</w:t>
      </w:r>
      <w:r>
        <w:rPr>
          <w:rFonts w:ascii="Verdana" w:hAnsi="Verdana" w:cs="Verdana"/>
          <w:sz w:val="18"/>
        </w:rPr>
        <w:t>o d’archivio, che verrà inviata a cura del responsabile della gestione documentale alla Soprintendenza archivistica per la Lombardia per l’ottenimento del nulla osta ministeriale. Ricevuto il nulla osta della Soprintendenza il responsabile della gestione d</w:t>
      </w:r>
      <w:r>
        <w:rPr>
          <w:rFonts w:ascii="Verdana" w:hAnsi="Verdana" w:cs="Verdana"/>
          <w:sz w:val="18"/>
        </w:rPr>
        <w:t xml:space="preserve">ocumentale organizza modalità e tempi per il prelievo e lo smaltimento della documentazione, adotta la determinazione attestante la decisione di procedere allo scarto e provvede alle operazioni di distruzione dei documenti tramite associazioni no-profit o </w:t>
      </w:r>
      <w:r>
        <w:rPr>
          <w:rFonts w:ascii="Verdana" w:hAnsi="Verdana" w:cs="Verdana"/>
          <w:sz w:val="18"/>
        </w:rPr>
        <w:t>individuando una ditta addetta allo smaltimento. A conclusione delle operazioni di smaltimento il responsabile della gestione documentale trasmette copia del verbale di avvenuto smaltimento alla Soprintendenza.</w:t>
      </w:r>
    </w:p>
    <w:p w:rsidR="00195F39" w:rsidRDefault="009642C8">
      <w:pPr>
        <w:pStyle w:val="NormaleWeb"/>
      </w:pPr>
      <w:r>
        <w:rPr>
          <w:rFonts w:ascii="Verdana" w:hAnsi="Verdana" w:cs="Verdana"/>
          <w:b/>
          <w:sz w:val="18"/>
        </w:rPr>
        <w:t>9. Consultazione delle unità archivistiche</w:t>
      </w:r>
    </w:p>
    <w:p w:rsidR="00195F39" w:rsidRDefault="009642C8">
      <w:pPr>
        <w:pStyle w:val="NormaleWeb"/>
        <w:jc w:val="both"/>
      </w:pPr>
      <w:r>
        <w:rPr>
          <w:rFonts w:ascii="Verdana" w:hAnsi="Verdana" w:cs="Verdana"/>
          <w:sz w:val="18"/>
        </w:rPr>
        <w:t>L’</w:t>
      </w:r>
      <w:r>
        <w:rPr>
          <w:rFonts w:ascii="Verdana" w:hAnsi="Verdana" w:cs="Verdana"/>
          <w:sz w:val="18"/>
        </w:rPr>
        <w:t>archivio di deposito è a disposizione degli amministratori e del personale del Comune di Sellero. Gli uffici possono accedere in ogni momento, per consultazione, ai fascicoli versati in archivio di deposito. Ogni dipendente è responsabile della buona conse</w:t>
      </w:r>
      <w:r>
        <w:rPr>
          <w:rFonts w:ascii="Verdana" w:hAnsi="Verdana" w:cs="Verdana"/>
          <w:sz w:val="18"/>
        </w:rPr>
        <w:t>rvazione della documentazione durante la fase di consultazione.</w:t>
      </w:r>
    </w:p>
    <w:p w:rsidR="00195F39" w:rsidRDefault="009642C8">
      <w:pPr>
        <w:pStyle w:val="NormaleWeb"/>
      </w:pPr>
      <w:r>
        <w:rPr>
          <w:rFonts w:ascii="Verdana" w:hAnsi="Verdana" w:cs="Verdana"/>
          <w:b/>
          <w:sz w:val="18"/>
        </w:rPr>
        <w:t>10. Aggiornamento</w:t>
      </w:r>
    </w:p>
    <w:p w:rsidR="00195F39" w:rsidRDefault="009642C8">
      <w:pPr>
        <w:spacing w:after="0"/>
        <w:jc w:val="both"/>
        <w:rPr>
          <w:rFonts w:ascii="Verdana" w:hAnsi="Verdana" w:cs="Verdana"/>
          <w:sz w:val="18"/>
        </w:rPr>
      </w:pPr>
      <w:r>
        <w:rPr>
          <w:rFonts w:ascii="Verdana" w:hAnsi="Verdana" w:cs="Verdana"/>
          <w:sz w:val="18"/>
        </w:rPr>
        <w:t>Ogni anno il responsabile della gestione documentale valuta la congruità del presente piano e lo aggiorna in base alle necessità riscontrate.</w:t>
      </w:r>
    </w:p>
    <w:sectPr w:rsidR="00195F39">
      <w:headerReference w:type="even" r:id="rId7"/>
      <w:headerReference w:type="default" r:id="rId8"/>
      <w:footerReference w:type="even" r:id="rId9"/>
      <w:footerReference w:type="default" r:id="rId10"/>
      <w:headerReference w:type="first" r:id="rId11"/>
      <w:footerReference w:type="first" r:id="rId12"/>
      <w:pgSz w:w="11906" w:h="16838"/>
      <w:pgMar w:top="2268" w:right="851" w:bottom="851" w:left="851" w:header="426"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642C8">
      <w:pPr>
        <w:spacing w:after="0" w:line="240" w:lineRule="auto"/>
      </w:pPr>
      <w:r>
        <w:separator/>
      </w:r>
    </w:p>
  </w:endnote>
  <w:endnote w:type="continuationSeparator" w:id="0">
    <w:p w:rsidR="00000000" w:rsidRDefault="00964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39" w:rsidRDefault="00195F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39" w:rsidRDefault="009642C8">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Pr>
        <w:rFonts w:ascii="Verdana" w:hAnsi="Verdana" w:cs="Verdana"/>
        <w:noProof/>
        <w:sz w:val="18"/>
      </w:rPr>
      <w:t>2</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Pr>
        <w:rFonts w:ascii="Verdana" w:hAnsi="Verdana" w:cs="Verdana"/>
        <w:noProof/>
        <w:sz w:val="18"/>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39" w:rsidRDefault="00195F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642C8">
      <w:pPr>
        <w:spacing w:after="0" w:line="240" w:lineRule="auto"/>
      </w:pPr>
      <w:r>
        <w:separator/>
      </w:r>
    </w:p>
  </w:footnote>
  <w:footnote w:type="continuationSeparator" w:id="0">
    <w:p w:rsidR="00000000" w:rsidRDefault="00964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39" w:rsidRDefault="00195F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jc w:val="center"/>
      <w:tblBorders>
        <w:top w:val="nil"/>
        <w:left w:val="nil"/>
        <w:bottom w:val="nil"/>
        <w:right w:val="nil"/>
        <w:insideH w:val="nil"/>
        <w:insideV w:val="nil"/>
      </w:tblBorders>
      <w:tblLook w:val="04A0" w:firstRow="1" w:lastRow="0" w:firstColumn="1" w:lastColumn="0" w:noHBand="0" w:noVBand="1"/>
    </w:tblPr>
    <w:tblGrid>
      <w:gridCol w:w="1371"/>
      <w:gridCol w:w="7911"/>
    </w:tblGrid>
    <w:tr w:rsidR="00195F39">
      <w:trPr>
        <w:jc w:val="center"/>
      </w:trPr>
      <w:tc>
        <w:tcPr>
          <w:tcW w:w="1276" w:type="dxa"/>
        </w:tcPr>
        <w:p w:rsidR="00195F39" w:rsidRDefault="009642C8">
          <w:pPr>
            <w:pStyle w:val="Intestazione"/>
          </w:pPr>
          <w:r>
            <w:rPr>
              <w:noProof/>
            </w:rPr>
            <w:drawing>
              <wp:inline distT="0" distB="0" distL="0" distR="0">
                <wp:extent cx="733425" cy="904875"/>
                <wp:effectExtent l="0" t="0" r="0" b="0"/>
                <wp:docPr id="1" name="Immagine.png"/>
                <wp:cNvGraphicFramePr/>
                <a:graphic xmlns:a="http://schemas.openxmlformats.org/drawingml/2006/main">
                  <a:graphicData uri="http://schemas.openxmlformats.org/drawingml/2006/picture">
                    <pic:pic xmlns:pic="http://schemas.openxmlformats.org/drawingml/2006/picture">
                      <pic:nvPicPr>
                        <pic:cNvPr id="0" name="Immagine.png"/>
                        <pic:cNvPicPr/>
                      </pic:nvPicPr>
                      <pic:blipFill>
                        <a:blip r:embed="rId1"/>
                        <a:stretch>
                          <a:fillRect/>
                        </a:stretch>
                      </pic:blipFill>
                      <pic:spPr>
                        <a:xfrm>
                          <a:off x="0" y="0"/>
                          <a:ext cx="733425" cy="904875"/>
                        </a:xfrm>
                        <a:prstGeom prst="rect">
                          <a:avLst/>
                        </a:prstGeom>
                      </pic:spPr>
                    </pic:pic>
                  </a:graphicData>
                </a:graphic>
              </wp:inline>
            </w:drawing>
          </w:r>
        </w:p>
      </w:tc>
      <w:tc>
        <w:tcPr>
          <w:tcW w:w="7911" w:type="dxa"/>
        </w:tcPr>
        <w:p w:rsidR="00195F39" w:rsidRDefault="009642C8">
          <w:pPr>
            <w:tabs>
              <w:tab w:val="left" w:pos="4681"/>
            </w:tabs>
            <w:spacing w:before="35"/>
            <w:jc w:val="center"/>
            <w:rPr>
              <w:rFonts w:ascii="Bookman Old Style" w:hAnsi="Bookman Old Style" w:cs="Bookman Old Style"/>
              <w:b/>
              <w:i/>
              <w:sz w:val="51"/>
            </w:rPr>
          </w:pPr>
          <w:r>
            <w:rPr>
              <w:rFonts w:ascii="Bookman Old Style" w:hAnsi="Bookman Old Style" w:cs="Bookman Old Style"/>
              <w:b/>
              <w:i/>
              <w:color w:val="0A0E21"/>
              <w:sz w:val="51"/>
            </w:rPr>
            <w:t>Comune di Sellero</w:t>
          </w:r>
        </w:p>
        <w:p w:rsidR="00195F39" w:rsidRDefault="009642C8">
          <w:pPr>
            <w:spacing w:before="1"/>
            <w:jc w:val="center"/>
            <w:rPr>
              <w:rFonts w:ascii="Bookman Old Style" w:hAnsi="Bookman Old Style" w:cs="Bookman Old Style"/>
              <w:b/>
              <w:sz w:val="39"/>
            </w:rPr>
          </w:pPr>
          <w:r>
            <w:rPr>
              <w:rFonts w:ascii="Bookman Old Style" w:hAnsi="Bookman Old Style" w:cs="Bookman Old Style"/>
              <w:b/>
              <w:i/>
              <w:color w:val="0A0E21"/>
              <w:sz w:val="39"/>
            </w:rPr>
            <w:t>Provincia di Brescia</w:t>
          </w:r>
        </w:p>
        <w:p w:rsidR="00195F39" w:rsidRDefault="009642C8">
          <w:pPr>
            <w:spacing w:before="40"/>
            <w:jc w:val="center"/>
            <w:rPr>
              <w:rFonts w:ascii="Bookman Old Style" w:hAnsi="Bookman Old Style" w:cs="Bookman Old Style"/>
              <w:b/>
              <w:sz w:val="21"/>
            </w:rPr>
          </w:pPr>
          <w:r>
            <w:rPr>
              <w:rFonts w:ascii="Bookman Old Style" w:hAnsi="Bookman Old Style" w:cs="Bookman Old Style"/>
              <w:b/>
              <w:i/>
              <w:color w:val="0A0E21"/>
              <w:sz w:val="21"/>
            </w:rPr>
            <w:t xml:space="preserve">Piazza Donatori di Sangue, n. 1 </w:t>
          </w:r>
          <w:r>
            <w:rPr>
              <w:rFonts w:ascii="Bookman Old Style" w:hAnsi="Bookman Old Style" w:cs="Bookman Old Style"/>
              <w:b/>
              <w:color w:val="1C233B"/>
              <w:sz w:val="21"/>
            </w:rPr>
            <w:t xml:space="preserve">- </w:t>
          </w:r>
          <w:r>
            <w:rPr>
              <w:rFonts w:ascii="Bookman Old Style" w:hAnsi="Bookman Old Style" w:cs="Bookman Old Style"/>
              <w:b/>
              <w:i/>
              <w:color w:val="0A0E21"/>
              <w:sz w:val="21"/>
            </w:rPr>
            <w:t>25050 Sellero (Bs)</w:t>
          </w:r>
        </w:p>
      </w:tc>
    </w:tr>
  </w:tbl>
  <w:p w:rsidR="00195F39" w:rsidRDefault="00195F3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39" w:rsidRDefault="00195F3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F10B8"/>
    <w:multiLevelType w:val="hybridMultilevel"/>
    <w:tmpl w:val="28FE214E"/>
    <w:lvl w:ilvl="0" w:tplc="146A6BA0">
      <w:start w:val="1"/>
      <w:numFmt w:val="bullet"/>
      <w:lvlText w:val=""/>
      <w:lvlJc w:val="left"/>
      <w:pPr>
        <w:ind w:left="720" w:hanging="360"/>
      </w:pPr>
      <w:rPr>
        <w:rFonts w:ascii="Symbol" w:hAnsi="Symbol" w:cs="Symbol"/>
      </w:rPr>
    </w:lvl>
    <w:lvl w:ilvl="1" w:tplc="6FEAE2F8">
      <w:start w:val="1"/>
      <w:numFmt w:val="decimal"/>
      <w:lvlText w:val="%2."/>
      <w:lvlJc w:val="left"/>
      <w:pPr>
        <w:ind w:left="1080" w:hanging="360"/>
      </w:pPr>
    </w:lvl>
    <w:lvl w:ilvl="2" w:tplc="CB2E62A6">
      <w:start w:val="1"/>
      <w:numFmt w:val="decimal"/>
      <w:lvlText w:val="%3."/>
      <w:lvlJc w:val="left"/>
      <w:pPr>
        <w:ind w:left="1440" w:hanging="360"/>
      </w:pPr>
    </w:lvl>
    <w:lvl w:ilvl="3" w:tplc="DFC630EC">
      <w:start w:val="1"/>
      <w:numFmt w:val="decimal"/>
      <w:lvlText w:val="%4."/>
      <w:lvlJc w:val="left"/>
      <w:pPr>
        <w:ind w:left="1800" w:hanging="360"/>
      </w:pPr>
    </w:lvl>
    <w:lvl w:ilvl="4" w:tplc="56009656">
      <w:start w:val="1"/>
      <w:numFmt w:val="decimal"/>
      <w:lvlText w:val="%5."/>
      <w:lvlJc w:val="left"/>
      <w:pPr>
        <w:ind w:left="2160" w:hanging="360"/>
      </w:pPr>
    </w:lvl>
    <w:lvl w:ilvl="5" w:tplc="E7E27B10">
      <w:start w:val="1"/>
      <w:numFmt w:val="decimal"/>
      <w:lvlText w:val="%6."/>
      <w:lvlJc w:val="left"/>
      <w:pPr>
        <w:ind w:left="2520" w:hanging="360"/>
      </w:pPr>
    </w:lvl>
    <w:lvl w:ilvl="6" w:tplc="8794CA6A">
      <w:start w:val="1"/>
      <w:numFmt w:val="decimal"/>
      <w:lvlText w:val="%7."/>
      <w:lvlJc w:val="left"/>
      <w:pPr>
        <w:ind w:left="2880" w:hanging="360"/>
      </w:pPr>
    </w:lvl>
    <w:lvl w:ilvl="7" w:tplc="D6A61D9C">
      <w:start w:val="1"/>
      <w:numFmt w:val="decimal"/>
      <w:lvlText w:val="%8."/>
      <w:lvlJc w:val="left"/>
      <w:pPr>
        <w:ind w:left="3240" w:hanging="360"/>
      </w:pPr>
    </w:lvl>
    <w:lvl w:ilvl="8" w:tplc="5A7A8420">
      <w:start w:val="1"/>
      <w:numFmt w:val="decimal"/>
      <w:lvlText w:val="%9."/>
      <w:lvlJc w:val="left"/>
      <w:pPr>
        <w:ind w:left="3600" w:hanging="360"/>
      </w:pPr>
    </w:lvl>
  </w:abstractNum>
  <w:abstractNum w:abstractNumId="1" w15:restartNumberingAfterBreak="0">
    <w:nsid w:val="76E74F58"/>
    <w:multiLevelType w:val="hybridMultilevel"/>
    <w:tmpl w:val="5D04B4B8"/>
    <w:lvl w:ilvl="0" w:tplc="88F47800">
      <w:start w:val="1"/>
      <w:numFmt w:val="bullet"/>
      <w:lvlText w:val=""/>
      <w:lvlJc w:val="left"/>
      <w:pPr>
        <w:ind w:left="720" w:hanging="360"/>
      </w:pPr>
      <w:rPr>
        <w:rFonts w:ascii="Symbol" w:hAnsi="Symbol" w:cs="Symbol"/>
      </w:rPr>
    </w:lvl>
    <w:lvl w:ilvl="1" w:tplc="015A1D5E">
      <w:start w:val="1"/>
      <w:numFmt w:val="decimal"/>
      <w:lvlText w:val="%2."/>
      <w:lvlJc w:val="left"/>
      <w:pPr>
        <w:ind w:left="1080" w:hanging="360"/>
      </w:pPr>
    </w:lvl>
    <w:lvl w:ilvl="2" w:tplc="EA985BAC">
      <w:start w:val="1"/>
      <w:numFmt w:val="decimal"/>
      <w:lvlText w:val="%3."/>
      <w:lvlJc w:val="left"/>
      <w:pPr>
        <w:ind w:left="1440" w:hanging="360"/>
      </w:pPr>
    </w:lvl>
    <w:lvl w:ilvl="3" w:tplc="2B1EA86C">
      <w:start w:val="1"/>
      <w:numFmt w:val="decimal"/>
      <w:lvlText w:val="%4."/>
      <w:lvlJc w:val="left"/>
      <w:pPr>
        <w:ind w:left="1800" w:hanging="360"/>
      </w:pPr>
    </w:lvl>
    <w:lvl w:ilvl="4" w:tplc="C1743ABC">
      <w:start w:val="1"/>
      <w:numFmt w:val="decimal"/>
      <w:lvlText w:val="%5."/>
      <w:lvlJc w:val="left"/>
      <w:pPr>
        <w:ind w:left="2160" w:hanging="360"/>
      </w:pPr>
    </w:lvl>
    <w:lvl w:ilvl="5" w:tplc="C658CBEE">
      <w:start w:val="1"/>
      <w:numFmt w:val="decimal"/>
      <w:lvlText w:val="%6."/>
      <w:lvlJc w:val="left"/>
      <w:pPr>
        <w:ind w:left="2520" w:hanging="360"/>
      </w:pPr>
    </w:lvl>
    <w:lvl w:ilvl="6" w:tplc="E8907BEE">
      <w:start w:val="1"/>
      <w:numFmt w:val="decimal"/>
      <w:lvlText w:val="%7."/>
      <w:lvlJc w:val="left"/>
      <w:pPr>
        <w:ind w:left="2880" w:hanging="360"/>
      </w:pPr>
    </w:lvl>
    <w:lvl w:ilvl="7" w:tplc="F27059A0">
      <w:start w:val="1"/>
      <w:numFmt w:val="decimal"/>
      <w:lvlText w:val="%8."/>
      <w:lvlJc w:val="left"/>
      <w:pPr>
        <w:ind w:left="3240" w:hanging="360"/>
      </w:pPr>
    </w:lvl>
    <w:lvl w:ilvl="8" w:tplc="A23450D6">
      <w:start w:val="1"/>
      <w:numFmt w:val="decimal"/>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39"/>
    <w:rsid w:val="00195F39"/>
    <w:rsid w:val="009642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F4309-376D-4B8B-B2F1-F9ACA35D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988</Words>
  <Characters>5634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Fasano</dc:creator>
  <cp:lastModifiedBy>Alessandra Fasano</cp:lastModifiedBy>
  <cp:revision>2</cp:revision>
  <dcterms:created xsi:type="dcterms:W3CDTF">2017-10-06T14:33:00Z</dcterms:created>
  <dcterms:modified xsi:type="dcterms:W3CDTF">2017-10-06T14:33:00Z</dcterms:modified>
</cp:coreProperties>
</file>