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525" w:rsidRPr="00E90EA7" w:rsidRDefault="00272003" w:rsidP="003B1E3C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F84525" w:rsidRPr="00E90EA7" w:rsidRDefault="00F84525" w:rsidP="00E90EA7">
      <w:pPr>
        <w:pStyle w:val="Paragrafoelenco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Differenze fra competenze fisse e competenze variabili della retribuzione.</w:t>
      </w:r>
    </w:p>
    <w:p w:rsidR="00EC39E8" w:rsidRPr="00E90EA7" w:rsidRDefault="00D75374" w:rsidP="00EC39E8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Performance e PIAO: Come si raccordano gli obiettivi di sezione "Valore Pubblico" con i sistemi di premialità individuale e quali sono i limiti minimi di differenziazione dei premi previsti dal CCNL?</w:t>
      </w:r>
    </w:p>
    <w:p w:rsidR="00B67042" w:rsidRPr="00E90EA7" w:rsidRDefault="00B67042" w:rsidP="00E90EA7">
      <w:pPr>
        <w:pStyle w:val="Paragrafoelenco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Ai sensi del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118/2011, quando deve essere accertata un’entrata e quando deve essere impegnata una spesa</w:t>
      </w:r>
    </w:p>
    <w:p w:rsidR="00247158" w:rsidRPr="00E90EA7" w:rsidRDefault="00247158" w:rsidP="00E90EA7">
      <w:pPr>
        <w:pStyle w:val="Paragrafoelenco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Ai sensi degli Art. 5 e 6 L. 241/90, quali sono i compiti del Responsabile del Procedimento (RUP) e in quali casi può discostarsi dalle risultanze dell'istruttoria nel momento in cui adotta il provvedimento finale?</w:t>
      </w:r>
    </w:p>
    <w:p w:rsidR="00E81BDA" w:rsidRPr="00E90EA7" w:rsidRDefault="00E81BDA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483275" w:rsidP="00483275">
      <w:pPr>
        <w:jc w:val="both"/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sz w:val="28"/>
          <w:szCs w:val="28"/>
        </w:rPr>
        <w:t>English:</w:t>
      </w:r>
      <w:r w:rsidR="00272003" w:rsidRPr="00272003"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:rsidR="00483275" w:rsidRPr="00C014E2" w:rsidRDefault="00483275" w:rsidP="00483275">
      <w:pPr>
        <w:jc w:val="both"/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sz w:val="28"/>
          <w:szCs w:val="28"/>
        </w:rPr>
        <w:br/>
        <w:t xml:space="preserve">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Municipality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closest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institution to the citizens.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goal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the community.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manages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schools, public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and social assistance.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Local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work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day to solve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 the city.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must cooperate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 urban life.</w:t>
      </w:r>
    </w:p>
    <w:p w:rsidR="00E81BDA" w:rsidRDefault="00E81BDA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CE197D" w:rsidRPr="00E90EA7" w:rsidRDefault="00CE197D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4525" w:rsidRPr="00E90EA7" w:rsidRDefault="00F84525" w:rsidP="00EC39E8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</w:p>
    <w:p w:rsidR="00F84525" w:rsidRPr="00E90EA7" w:rsidRDefault="00272003" w:rsidP="00CE197D">
      <w:pPr>
        <w:spacing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F84525" w:rsidRPr="00E90EA7" w:rsidRDefault="00F84525" w:rsidP="00E90EA7">
      <w:pPr>
        <w:pStyle w:val="Paragrafoelenco"/>
        <w:numPr>
          <w:ilvl w:val="0"/>
          <w:numId w:val="13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Malattia: disciplina, periodo di comporto e retribuzione</w:t>
      </w:r>
    </w:p>
    <w:p w:rsidR="00F84525" w:rsidRPr="00E90EA7" w:rsidRDefault="00D75374" w:rsidP="00E90EA7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Fabbisogni di Personale: Il superamento del concetto di "dotazione organica" a favore del Piano Triennale dei Fabbisogni: come si calcola la sostenibilità finanziaria delle assunzioni in base al rapporto entrate/spesa di personale (D.M. 17 marzo 2020).</w:t>
      </w:r>
    </w:p>
    <w:p w:rsidR="00B67042" w:rsidRPr="00E90EA7" w:rsidRDefault="00B67042" w:rsidP="00E90EA7">
      <w:pPr>
        <w:pStyle w:val="Paragrafoelenco"/>
        <w:numPr>
          <w:ilvl w:val="0"/>
          <w:numId w:val="13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Qual è la funzione del FCDE nel bilancio di previsione e come si riflette nel risultato di amministrazione</w:t>
      </w:r>
    </w:p>
    <w:p w:rsidR="00F84525" w:rsidRPr="00E90EA7" w:rsidRDefault="00247158" w:rsidP="00E90EA7">
      <w:pPr>
        <w:pStyle w:val="Paragrafoelenco"/>
        <w:numPr>
          <w:ilvl w:val="0"/>
          <w:numId w:val="13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Quali sono le differenze procedurali e di presupposti tra l'Accesso Documentale (ex L. 241/90) e l'Accesso Civico Generalizzato (FOIA -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33/2013)?</w:t>
      </w:r>
    </w:p>
    <w:p w:rsidR="00247158" w:rsidRPr="00E90EA7" w:rsidRDefault="00247158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sz w:val="28"/>
          <w:szCs w:val="28"/>
        </w:rPr>
        <w:br/>
        <w:t xml:space="preserve">Today,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are available on the internet.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Citizens can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taxes and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request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certificates from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home.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Using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faster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office.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time and paper.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Digital innovation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relationship with the public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easier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</w:p>
    <w:p w:rsidR="00483275" w:rsidRPr="00E90EA7" w:rsidRDefault="00483275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90EA7" w:rsidRDefault="00E90EA7" w:rsidP="00EC39E8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</w:p>
    <w:p w:rsidR="00F84525" w:rsidRDefault="00272003" w:rsidP="004A428F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E90EA7" w:rsidRDefault="00F84525" w:rsidP="00E90EA7">
      <w:pPr>
        <w:pStyle w:val="Paragrafoelenco"/>
        <w:numPr>
          <w:ilvl w:val="0"/>
          <w:numId w:val="14"/>
        </w:numPr>
        <w:spacing w:after="16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Permessi: tipologie e relativa retribuzione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EA7" w:rsidRPr="00E90EA7" w:rsidRDefault="00D75374" w:rsidP="00E90EA7">
      <w:pPr>
        <w:pStyle w:val="Paragrafoelenco"/>
        <w:numPr>
          <w:ilvl w:val="0"/>
          <w:numId w:val="14"/>
        </w:numPr>
        <w:spacing w:after="16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Relazioni Sindacali: La distinzione tra "Confronto" e "Contrattazione Integrativa": quali materie sono sottratte alla contrattazione e riservate al potere datoriale?</w:t>
      </w:r>
    </w:p>
    <w:p w:rsidR="00E90EA7" w:rsidRDefault="00EC39E8" w:rsidP="00E90EA7">
      <w:pPr>
        <w:pStyle w:val="Paragrafoelenco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Contabilità: I limiti alla spesa di personale (Art. 1, commi 557 e 562, L. 296/2006): come si calcola la spesa media del triennio e quali voci sono escluse dal computo del limite?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25" w:rsidRPr="00E90EA7" w:rsidRDefault="00247158" w:rsidP="00E90EA7">
      <w:pPr>
        <w:pStyle w:val="Paragrafoelenco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Ai sensi dell'art. 6-bis della L. 241/90 e del Piano Nazionale Anticorruzione, come deve comportarsi il Funzionario in presenza di un conflitto di interessi, anche solo potenziale?</w:t>
      </w:r>
    </w:p>
    <w:p w:rsidR="00483275" w:rsidRPr="00E90EA7" w:rsidRDefault="00483275" w:rsidP="00483275">
      <w:pPr>
        <w:rPr>
          <w:rFonts w:ascii="Times New Roman" w:hAnsi="Times New Roman" w:cs="Times New Roman"/>
          <w:sz w:val="28"/>
          <w:szCs w:val="28"/>
        </w:rPr>
      </w:pPr>
    </w:p>
    <w:p w:rsidR="00483275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:rsidR="00272003" w:rsidRPr="00E90EA7" w:rsidRDefault="00272003" w:rsidP="00483275">
      <w:pPr>
        <w:rPr>
          <w:rFonts w:ascii="Times New Roman" w:hAnsi="Times New Roman" w:cs="Times New Roman"/>
          <w:sz w:val="28"/>
          <w:szCs w:val="28"/>
        </w:rPr>
      </w:pPr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sz w:val="28"/>
          <w:szCs w:val="28"/>
        </w:rPr>
        <w:t xml:space="preserve">A public employee must always act with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impartiality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He must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all citizens in the same fair way.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Personal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opinions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follow the law and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rules.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trust of the people.</w:t>
      </w:r>
    </w:p>
    <w:p w:rsidR="00F84525" w:rsidRPr="00E90EA7" w:rsidRDefault="00F84525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4525" w:rsidRPr="00E90EA7" w:rsidRDefault="00272003" w:rsidP="004A428F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E90EA7" w:rsidRPr="00E90EA7" w:rsidRDefault="00F84525" w:rsidP="00E90EA7">
      <w:pPr>
        <w:pStyle w:val="Paragrafoelenco"/>
        <w:numPr>
          <w:ilvl w:val="0"/>
          <w:numId w:val="15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Fondo Risorse decentrate: costituzione e utilizzo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E8" w:rsidRPr="00E90EA7" w:rsidRDefault="00D75374" w:rsidP="00EC39E8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Mansioni Superiori: Disciplina dell'art. 52 del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165/2001: quando è legittimo il conferimento, quali sono i diritti economici del lavoratore e le responsabilità del dirigente in caso di assegnazione illegittima.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E8" w:rsidRPr="00E90EA7" w:rsidRDefault="00B67042" w:rsidP="00EC39E8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Com’è articolato il prospetto del risultato di amministrazione e qual è l'ordine di priorità nell'utilizzo dell'avanzo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042" w:rsidRPr="00E90EA7" w:rsidRDefault="00247158" w:rsidP="00E90EA7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Qual è la finalità della comunicazione di avvio del procedimento e in quali casi tassativi l'amministrazione può omettere tale adempimento senza che l'atto sia annullabile?</w:t>
      </w:r>
    </w:p>
    <w:p w:rsidR="00EC39E8" w:rsidRPr="00E90EA7" w:rsidRDefault="00EC39E8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483275" w:rsidRPr="00E90EA7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sz w:val="28"/>
          <w:szCs w:val="28"/>
        </w:rPr>
        <w:t xml:space="preserve">Local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governments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protecting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collection of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promote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recycling.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cities are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parks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bicycles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Protecting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nature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 duty for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and the citizens.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air and green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spaces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health.</w:t>
      </w:r>
    </w:p>
    <w:p w:rsidR="00483275" w:rsidRPr="00E90EA7" w:rsidRDefault="00483275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E90EA7" w:rsidRDefault="00E90EA7" w:rsidP="00EC39E8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4525" w:rsidRPr="00E90EA7" w:rsidRDefault="00272003" w:rsidP="004A428F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E90EA7" w:rsidRPr="00E90EA7" w:rsidRDefault="00F84525" w:rsidP="00E90EA7">
      <w:pPr>
        <w:pStyle w:val="Paragrafoelenco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Permessi e tutele persone disabili: Legge 5 febbraio 1992, n. 104 – art. 42 D. Lgs. 151/2001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E8" w:rsidRPr="00E90EA7" w:rsidRDefault="00D75374" w:rsidP="00E90EA7">
      <w:pPr>
        <w:pStyle w:val="Paragrafoelenco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Mobilità: Differenza tra mobilità volontaria (Art. 30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165/2001) e mobilità obbligatoria per eccedenza di personale: il ruolo del nulla osta dell'amministrazione di appartenenza.</w:t>
      </w:r>
    </w:p>
    <w:p w:rsidR="00F84525" w:rsidRPr="00E90EA7" w:rsidRDefault="00B67042" w:rsidP="00E90EA7">
      <w:pPr>
        <w:pStyle w:val="Paragrafoelenco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In cosa consiste l'operazione di riaccertamento ordinario e qual è il ruolo del Responsabile del Servizio Finanziario</w:t>
      </w:r>
    </w:p>
    <w:p w:rsidR="00EC39E8" w:rsidRPr="00E90EA7" w:rsidRDefault="00EC39E8" w:rsidP="00E90EA7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Controlli Interni: Il ruolo dell'Ufficio Personale nel controllo di gestione e nel controllo di regolarità amministrativa.</w:t>
      </w:r>
    </w:p>
    <w:p w:rsidR="00247158" w:rsidRPr="00E90EA7" w:rsidRDefault="00247158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 w:rsidRPr="00272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Transparency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documents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are open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must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spends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public money.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Citizens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right to know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for 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Clear information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prevents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mistakes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stops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behaviors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transparent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office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sign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 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democracy.</w:t>
      </w:r>
    </w:p>
    <w:p w:rsidR="00483275" w:rsidRDefault="00483275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483275" w:rsidRPr="00E90EA7" w:rsidRDefault="00483275" w:rsidP="00EC39E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4525" w:rsidRPr="00E90EA7" w:rsidRDefault="00272003" w:rsidP="004A428F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:rsidR="00E90EA7" w:rsidRPr="00E90EA7" w:rsidRDefault="00F84525" w:rsidP="00E90EA7">
      <w:pPr>
        <w:pStyle w:val="Paragrafoelenco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Preavviso: modalità e termini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E8" w:rsidRPr="00E90EA7" w:rsidRDefault="00D75374" w:rsidP="00EC39E8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Codice di Comportamento: Le novità introdotte dal D.P.R. 81/2023 circa l'utilizzo dei social media da parte dei dipendenti pubblici.</w:t>
      </w:r>
      <w:r w:rsidR="00E90EA7" w:rsidRPr="00E90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E8" w:rsidRPr="00E90EA7" w:rsidRDefault="00B67042" w:rsidP="00EC39E8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Qual è la struttura del DUP e perché è considerato il presupposto indispensabile per l'approvazione del Bilancio di Previsione?</w:t>
      </w:r>
    </w:p>
    <w:p w:rsidR="00EC39E8" w:rsidRPr="00E90EA7" w:rsidRDefault="00EC39E8" w:rsidP="00E90EA7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Incompatibilità: L'autorizzazione agli incarichi extra-istituzionali (Art. 53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165/2001): i criteri per valutare il conflitto di interessi potenziale e il divieto di incarichi che generano pregiudizio all'attività ordinaria.</w:t>
      </w:r>
    </w:p>
    <w:p w:rsidR="00B67042" w:rsidRPr="00E90EA7" w:rsidRDefault="00B67042" w:rsidP="00EC39E8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br/>
        <w:t xml:space="preserve">Working in a public office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requires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communication skills.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Employees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work together on complex and long projects.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Sharing information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best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quickly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Respect for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colleagues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of 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team can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all the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easily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</w:p>
    <w:p w:rsidR="00483275" w:rsidRPr="00E90EA7" w:rsidRDefault="00483275" w:rsidP="00EC39E8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:rsidR="00E90EA7" w:rsidRPr="00E90EA7" w:rsidRDefault="00E90EA7" w:rsidP="00EC39E8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:rsidR="00272003" w:rsidRDefault="00272003" w:rsidP="00EC39E8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003" w:rsidRDefault="00272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4525" w:rsidRPr="00E90EA7" w:rsidRDefault="00272003" w:rsidP="004A428F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TRACCIA</w:t>
      </w:r>
      <w:r w:rsidR="00F84525" w:rsidRPr="00E90EA7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:rsidR="00E90EA7" w:rsidRPr="00E90EA7" w:rsidRDefault="00F84525" w:rsidP="00E90EA7">
      <w:pPr>
        <w:pStyle w:val="Paragrafoelenco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Sicurezza sui luoghi di lavoro: T.U. 81/2008 principi generali soggetti e relativi compiti/adempimenti</w:t>
      </w:r>
    </w:p>
    <w:p w:rsidR="00B67042" w:rsidRPr="00E90EA7" w:rsidRDefault="00D75374" w:rsidP="00EC39E8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Formazione: Il diritto-dovere alla formazione del personale: programmazione finanziaria e monitoraggio dell'efficacia formativa nel PIAO.</w:t>
      </w:r>
    </w:p>
    <w:p w:rsidR="00A12434" w:rsidRPr="00E90EA7" w:rsidRDefault="00B67042" w:rsidP="00EC39E8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>Spieghi la natura e la funzione del Fondo Pluriennale Vincolato (FPV) sia dal punto di vista finanziario che da quello della competenza potenziata. In quali casi è obbligatorio costituirlo e come viene rappresentato nel Bilancio di Previsione</w:t>
      </w:r>
    </w:p>
    <w:p w:rsidR="00EC39E8" w:rsidRPr="00E90EA7" w:rsidRDefault="00EC39E8" w:rsidP="00E90EA7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EA7">
        <w:rPr>
          <w:rFonts w:ascii="Times New Roman" w:hAnsi="Times New Roman" w:cs="Times New Roman"/>
          <w:sz w:val="28"/>
          <w:szCs w:val="28"/>
        </w:rPr>
        <w:t xml:space="preserve">Whistleblowing: Le tutele del dipendente che segnala illeciti alla luce del </w:t>
      </w:r>
      <w:proofErr w:type="spellStart"/>
      <w:r w:rsidRPr="00E90EA7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E90EA7">
        <w:rPr>
          <w:rFonts w:ascii="Times New Roman" w:hAnsi="Times New Roman" w:cs="Times New Roman"/>
          <w:sz w:val="28"/>
          <w:szCs w:val="28"/>
        </w:rPr>
        <w:t xml:space="preserve"> 24/2023: obblighi dell'Ufficio Personale nella gestione del canale interno.</w:t>
      </w:r>
    </w:p>
    <w:p w:rsidR="00EC39E8" w:rsidRPr="00E90EA7" w:rsidRDefault="00EC39E8" w:rsidP="00EC39E8">
      <w:pPr>
        <w:rPr>
          <w:rFonts w:ascii="Times New Roman" w:hAnsi="Times New Roman" w:cs="Times New Roman"/>
          <w:sz w:val="28"/>
          <w:szCs w:val="28"/>
        </w:rPr>
      </w:pPr>
    </w:p>
    <w:p w:rsidR="00483275" w:rsidRPr="00C014E2" w:rsidRDefault="00483275" w:rsidP="00483275">
      <w:pPr>
        <w:rPr>
          <w:rFonts w:ascii="Times New Roman" w:hAnsi="Times New Roman" w:cs="Times New Roman"/>
          <w:sz w:val="28"/>
          <w:szCs w:val="28"/>
        </w:rPr>
      </w:pPr>
      <w:r w:rsidRPr="00C014E2">
        <w:rPr>
          <w:rFonts w:ascii="Times New Roman" w:hAnsi="Times New Roman" w:cs="Times New Roman"/>
          <w:b/>
          <w:bCs/>
          <w:sz w:val="28"/>
          <w:szCs w:val="28"/>
        </w:rPr>
        <w:t>English:</w:t>
      </w:r>
      <w:r w:rsidR="00272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272003" w:rsidRPr="0027200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272003" w:rsidRPr="00272003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br/>
        <w:t xml:space="preserve">The public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encourages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training of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staff.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Employees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attend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new laws and technologies.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learning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high-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C014E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well-trained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can help the citizens more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efficiently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>.</w:t>
      </w:r>
      <w:r w:rsidR="00CE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Investing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in knowledge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best way to </w:t>
      </w:r>
      <w:proofErr w:type="spellStart"/>
      <w:r w:rsidRPr="00C014E2">
        <w:rPr>
          <w:rFonts w:ascii="Times New Roman" w:hAnsi="Times New Roman" w:cs="Times New Roman"/>
          <w:sz w:val="28"/>
          <w:szCs w:val="28"/>
        </w:rPr>
        <w:t>modernize</w:t>
      </w:r>
      <w:proofErr w:type="spellEnd"/>
      <w:r w:rsidRPr="00C014E2">
        <w:rPr>
          <w:rFonts w:ascii="Times New Roman" w:hAnsi="Times New Roman" w:cs="Times New Roman"/>
          <w:sz w:val="28"/>
          <w:szCs w:val="28"/>
        </w:rPr>
        <w:t xml:space="preserve"> the state.</w:t>
      </w:r>
    </w:p>
    <w:p w:rsidR="00483275" w:rsidRDefault="00483275" w:rsidP="00EC39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3275" w:rsidSect="00E90EA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5671"/>
    <w:multiLevelType w:val="hybridMultilevel"/>
    <w:tmpl w:val="F858D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DBF"/>
    <w:multiLevelType w:val="multilevel"/>
    <w:tmpl w:val="3782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851A1"/>
    <w:multiLevelType w:val="multilevel"/>
    <w:tmpl w:val="CCA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E582C"/>
    <w:multiLevelType w:val="multilevel"/>
    <w:tmpl w:val="B420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F471D"/>
    <w:multiLevelType w:val="multilevel"/>
    <w:tmpl w:val="DA8A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B0651"/>
    <w:multiLevelType w:val="hybridMultilevel"/>
    <w:tmpl w:val="F9363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6CD2"/>
    <w:multiLevelType w:val="multilevel"/>
    <w:tmpl w:val="01AC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9513C"/>
    <w:multiLevelType w:val="hybridMultilevel"/>
    <w:tmpl w:val="49BC3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7B"/>
    <w:multiLevelType w:val="multilevel"/>
    <w:tmpl w:val="CCA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67862"/>
    <w:multiLevelType w:val="multilevel"/>
    <w:tmpl w:val="26E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63AFE"/>
    <w:multiLevelType w:val="hybridMultilevel"/>
    <w:tmpl w:val="DC9E3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34911"/>
    <w:multiLevelType w:val="hybridMultilevel"/>
    <w:tmpl w:val="9544F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21CA"/>
    <w:multiLevelType w:val="hybridMultilevel"/>
    <w:tmpl w:val="F6828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51B27"/>
    <w:multiLevelType w:val="multilevel"/>
    <w:tmpl w:val="CCA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CC45ED"/>
    <w:multiLevelType w:val="multilevel"/>
    <w:tmpl w:val="CCA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D156B6"/>
    <w:multiLevelType w:val="hybridMultilevel"/>
    <w:tmpl w:val="A88A3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F6970"/>
    <w:multiLevelType w:val="multilevel"/>
    <w:tmpl w:val="67F22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54559"/>
    <w:multiLevelType w:val="hybridMultilevel"/>
    <w:tmpl w:val="6032E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4"/>
  </w:num>
  <w:num w:numId="7">
    <w:abstractNumId w:val="6"/>
  </w:num>
  <w:num w:numId="8">
    <w:abstractNumId w:val="16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4"/>
    <w:rsid w:val="00024117"/>
    <w:rsid w:val="00036817"/>
    <w:rsid w:val="001200C1"/>
    <w:rsid w:val="00247158"/>
    <w:rsid w:val="00272003"/>
    <w:rsid w:val="003B1E3C"/>
    <w:rsid w:val="00483275"/>
    <w:rsid w:val="004A428F"/>
    <w:rsid w:val="005E5DF4"/>
    <w:rsid w:val="008F0F41"/>
    <w:rsid w:val="009B42D4"/>
    <w:rsid w:val="00A12434"/>
    <w:rsid w:val="00B67042"/>
    <w:rsid w:val="00CA0C86"/>
    <w:rsid w:val="00CE197D"/>
    <w:rsid w:val="00D75374"/>
    <w:rsid w:val="00E17AA2"/>
    <w:rsid w:val="00E81BDA"/>
    <w:rsid w:val="00E90EA7"/>
    <w:rsid w:val="00EC39E8"/>
    <w:rsid w:val="00F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04EAF-8EC9-45A2-90C2-030DF02A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4525"/>
  </w:style>
  <w:style w:type="paragraph" w:styleId="Titolo1">
    <w:name w:val="heading 1"/>
    <w:basedOn w:val="Normale"/>
    <w:next w:val="Normale"/>
    <w:link w:val="Titolo1Carattere"/>
    <w:uiPriority w:val="9"/>
    <w:qFormat/>
    <w:rsid w:val="005E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5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5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5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5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5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5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5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5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5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5D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5D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5D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5D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5D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5D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5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5D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5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5D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5D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5D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5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5D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5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Cavallini</dc:creator>
  <cp:keywords/>
  <dc:description/>
  <cp:lastModifiedBy>Ivonne Genziani</cp:lastModifiedBy>
  <cp:revision>3</cp:revision>
  <cp:lastPrinted>2026-04-15T06:15:00Z</cp:lastPrinted>
  <dcterms:created xsi:type="dcterms:W3CDTF">2026-04-15T10:48:00Z</dcterms:created>
  <dcterms:modified xsi:type="dcterms:W3CDTF">2026-04-15T12:11:00Z</dcterms:modified>
</cp:coreProperties>
</file>