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89B26" w14:textId="77777777" w:rsidR="00FD2DBC" w:rsidRDefault="00FD2DBC" w:rsidP="00FD2DBC">
      <w:pPr>
        <w:pStyle w:val="NormaleWeb"/>
        <w:spacing w:before="60" w:beforeAutospacing="0" w:after="60"/>
        <w:jc w:val="center"/>
      </w:pPr>
      <w:r>
        <w:rPr>
          <w:rFonts w:ascii="Verdana" w:hAnsi="Verdana"/>
          <w:b/>
          <w:bCs/>
          <w:sz w:val="33"/>
          <w:szCs w:val="33"/>
        </w:rPr>
        <w:t>Piano Triennale di Prevenzione della Corruzione e della Trasparenza</w:t>
      </w:r>
    </w:p>
    <w:p w14:paraId="0CC4D03B" w14:textId="77777777" w:rsidR="00FD2DBC" w:rsidRDefault="00FD2DBC" w:rsidP="00FD2DBC">
      <w:pPr>
        <w:pStyle w:val="NormaleWeb"/>
        <w:spacing w:before="60" w:beforeAutospacing="0" w:after="60"/>
        <w:jc w:val="center"/>
      </w:pPr>
      <w:r>
        <w:rPr>
          <w:rFonts w:ascii="Verdana" w:hAnsi="Verdana"/>
          <w:b/>
          <w:bCs/>
          <w:sz w:val="33"/>
          <w:szCs w:val="33"/>
        </w:rPr>
        <w:t>(P.T.P.C.T.)</w:t>
      </w:r>
    </w:p>
    <w:p w14:paraId="75752F96" w14:textId="7E9D26D4" w:rsidR="00FD2DBC" w:rsidRDefault="00217B30" w:rsidP="00FD2DBC">
      <w:pPr>
        <w:pStyle w:val="NormaleWeb"/>
        <w:spacing w:before="60" w:beforeAutospacing="0" w:after="60"/>
        <w:jc w:val="center"/>
      </w:pPr>
      <w:r>
        <w:rPr>
          <w:rFonts w:ascii="Verdana" w:hAnsi="Verdana"/>
          <w:b/>
          <w:bCs/>
          <w:sz w:val="33"/>
          <w:szCs w:val="33"/>
        </w:rPr>
        <w:t>Comune di Cevo</w:t>
      </w:r>
    </w:p>
    <w:p w14:paraId="2BAF8AA0" w14:textId="77777777" w:rsidR="00FD2DBC" w:rsidRDefault="00FD2DBC" w:rsidP="00FD2DBC">
      <w:pPr>
        <w:pStyle w:val="NormaleWeb"/>
        <w:spacing w:before="60" w:beforeAutospacing="0" w:after="60"/>
        <w:jc w:val="center"/>
      </w:pPr>
      <w:r>
        <w:rPr>
          <w:rFonts w:ascii="Verdana" w:hAnsi="Verdana"/>
          <w:b/>
          <w:bCs/>
          <w:sz w:val="33"/>
          <w:szCs w:val="33"/>
        </w:rPr>
        <w:t>2021/2023</w:t>
      </w:r>
    </w:p>
    <w:p w14:paraId="0865DCCB" w14:textId="77777777" w:rsidR="00FD2DBC" w:rsidRDefault="00FD2DBC" w:rsidP="00FD2DBC">
      <w:pPr>
        <w:pStyle w:val="NormaleWeb"/>
        <w:spacing w:before="60" w:beforeAutospacing="0" w:after="60"/>
      </w:pPr>
      <w:r>
        <w:t> </w:t>
      </w:r>
    </w:p>
    <w:p w14:paraId="46D401DB" w14:textId="77777777" w:rsidR="00FD2DBC" w:rsidRDefault="00FD2DBC" w:rsidP="00FD2DBC">
      <w:pPr>
        <w:pStyle w:val="NormaleWeb"/>
        <w:spacing w:before="60" w:beforeAutospacing="0" w:after="60"/>
      </w:pPr>
      <w:r>
        <w:t> </w:t>
      </w:r>
    </w:p>
    <w:p w14:paraId="4E580B8B" w14:textId="77777777" w:rsidR="00FD2DBC" w:rsidRDefault="00FD2DBC" w:rsidP="00FD2DBC">
      <w:pPr>
        <w:pStyle w:val="NormaleWeb"/>
        <w:spacing w:before="60" w:beforeAutospacing="0" w:after="60"/>
      </w:pPr>
      <w:r>
        <w:rPr>
          <w:rFonts w:ascii="Verdana" w:hAnsi="Verdana"/>
        </w:rPr>
        <w:t> </w:t>
      </w:r>
    </w:p>
    <w:p w14:paraId="22BFBD4C" w14:textId="77777777" w:rsidR="00FD2DBC" w:rsidRDefault="00FD2DBC" w:rsidP="00FD2DBC">
      <w:pPr>
        <w:pStyle w:val="NormaleWeb"/>
        <w:spacing w:before="60" w:beforeAutospacing="0" w:after="60"/>
      </w:pPr>
      <w:r>
        <w:rPr>
          <w:rFonts w:ascii="Verdana" w:hAnsi="Verdana"/>
        </w:rPr>
        <w:t> </w:t>
      </w:r>
    </w:p>
    <w:p w14:paraId="30CDD25E" w14:textId="77777777" w:rsidR="00FD2DBC" w:rsidRDefault="00FD2DBC" w:rsidP="00FD2DBC">
      <w:pPr>
        <w:pStyle w:val="NormaleWeb"/>
        <w:spacing w:before="60" w:beforeAutospacing="0" w:after="60"/>
      </w:pPr>
      <w:r>
        <w:rPr>
          <w:rFonts w:ascii="Verdana" w:hAnsi="Verdana"/>
        </w:rPr>
        <w:t> </w:t>
      </w:r>
    </w:p>
    <w:p w14:paraId="630C3E1B" w14:textId="77777777" w:rsidR="00FD2DBC" w:rsidRDefault="00FD2DBC" w:rsidP="00FD2DBC">
      <w:pPr>
        <w:pStyle w:val="NormaleWeb"/>
        <w:spacing w:before="60" w:beforeAutospacing="0" w:after="60"/>
      </w:pPr>
      <w:r>
        <w:rPr>
          <w:rFonts w:ascii="Verdana" w:hAnsi="Verdana"/>
        </w:rPr>
        <w:t> </w:t>
      </w:r>
    </w:p>
    <w:p w14:paraId="67B78978" w14:textId="77777777" w:rsidR="00FD2DBC" w:rsidRDefault="00FD2DBC" w:rsidP="00FD2DBC">
      <w:pPr>
        <w:pStyle w:val="NormaleWeb"/>
        <w:spacing w:before="60" w:beforeAutospacing="0" w:after="60"/>
      </w:pPr>
      <w:r>
        <w:rPr>
          <w:rFonts w:ascii="Verdana" w:hAnsi="Verdana"/>
        </w:rPr>
        <w:t> </w:t>
      </w:r>
    </w:p>
    <w:p w14:paraId="07219D82" w14:textId="77777777" w:rsidR="00FD2DBC" w:rsidRDefault="00FD2DBC" w:rsidP="00FD2DBC">
      <w:pPr>
        <w:pStyle w:val="NormaleWeb"/>
        <w:spacing w:before="60" w:beforeAutospacing="0" w:after="60"/>
        <w:jc w:val="center"/>
      </w:pPr>
      <w:r>
        <w:rPr>
          <w:rStyle w:val="Enfasigrassetto"/>
          <w:rFonts w:ascii="Verdana" w:hAnsi="Verdana"/>
        </w:rPr>
        <w:t>Predisposto dal responsabile per la prevenzione della corruzione</w:t>
      </w:r>
    </w:p>
    <w:p w14:paraId="2FA440B2" w14:textId="31B01C34" w:rsidR="00FD2DBC" w:rsidRDefault="00FD2DBC" w:rsidP="00FD2DBC">
      <w:pPr>
        <w:pStyle w:val="NormaleWeb"/>
        <w:spacing w:before="60" w:beforeAutospacing="0" w:after="60"/>
        <w:jc w:val="center"/>
      </w:pPr>
      <w:r>
        <w:rPr>
          <w:rStyle w:val="Enfasigrassetto"/>
          <w:rFonts w:ascii="Verdana" w:hAnsi="Verdana"/>
        </w:rPr>
        <w:t xml:space="preserve">Adottato in data </w:t>
      </w:r>
      <w:r w:rsidR="00217B30">
        <w:rPr>
          <w:rStyle w:val="Enfasigrassetto"/>
          <w:rFonts w:ascii="Verdana" w:hAnsi="Verdana"/>
        </w:rPr>
        <w:t>31</w:t>
      </w:r>
      <w:r w:rsidR="000F1FFE">
        <w:rPr>
          <w:rStyle w:val="Enfasigrassetto"/>
          <w:rFonts w:ascii="Verdana" w:hAnsi="Verdana"/>
        </w:rPr>
        <w:t>/03/2021</w:t>
      </w:r>
      <w:r>
        <w:rPr>
          <w:rStyle w:val="Enfasigrassetto"/>
          <w:rFonts w:ascii="Verdana" w:hAnsi="Verdana"/>
        </w:rPr>
        <w:t xml:space="preserve"> con </w:t>
      </w:r>
      <w:r w:rsidR="000F1FFE">
        <w:rPr>
          <w:rStyle w:val="Enfasigrassetto"/>
          <w:rFonts w:ascii="Verdana" w:hAnsi="Verdana"/>
        </w:rPr>
        <w:t>Delibera di Giunta n.</w:t>
      </w:r>
      <w:r w:rsidR="00217B30">
        <w:rPr>
          <w:rStyle w:val="Enfasigrassetto"/>
          <w:rFonts w:ascii="Verdana" w:hAnsi="Verdana"/>
        </w:rPr>
        <w:t>20</w:t>
      </w:r>
    </w:p>
    <w:p w14:paraId="4B52B68B" w14:textId="77777777" w:rsidR="00FD2DBC" w:rsidRDefault="00FD2DBC" w:rsidP="00FD2DBC">
      <w:pPr>
        <w:pStyle w:val="NormaleWeb"/>
        <w:spacing w:before="60" w:beforeAutospacing="0" w:after="60"/>
        <w:jc w:val="center"/>
      </w:pPr>
      <w:r>
        <w:rPr>
          <w:rStyle w:val="Enfasigrassetto"/>
          <w:rFonts w:ascii="Verdana" w:hAnsi="Verdana"/>
        </w:rPr>
        <w:t>Pubblicato sul sito internet nella sezione "Amministrazione trasparente"</w:t>
      </w:r>
    </w:p>
    <w:p w14:paraId="3F31D015" w14:textId="77777777" w:rsidR="00FD2DBC" w:rsidRDefault="00FD2DBC" w:rsidP="00FD2DBC">
      <w:pPr>
        <w:pStyle w:val="NormaleWeb"/>
        <w:spacing w:before="60" w:beforeAutospacing="0" w:after="60"/>
        <w:jc w:val="center"/>
      </w:pPr>
      <w:r>
        <w:t> </w:t>
      </w:r>
    </w:p>
    <w:p w14:paraId="75088A72" w14:textId="07603406" w:rsidR="00FD2DBC" w:rsidRDefault="00FD2DBC">
      <w:pPr>
        <w:rPr>
          <w:rFonts w:ascii="Times New Roman" w:eastAsia="Times New Roman" w:hAnsi="Times New Roman" w:cs="Times New Roman"/>
          <w:sz w:val="24"/>
          <w:szCs w:val="24"/>
          <w:lang w:eastAsia="it-IT"/>
        </w:rPr>
      </w:pPr>
      <w:r>
        <w:br w:type="page"/>
      </w:r>
      <w:bookmarkStart w:id="0" w:name="_GoBack"/>
      <w:bookmarkEnd w:id="0"/>
    </w:p>
    <w:p w14:paraId="10B872A5" w14:textId="77777777" w:rsidR="00FD2DBC" w:rsidRDefault="00FD2DBC" w:rsidP="00FD2DBC">
      <w:pPr>
        <w:pStyle w:val="NormaleWeb"/>
        <w:spacing w:before="60" w:beforeAutospacing="0" w:after="60"/>
        <w:jc w:val="center"/>
      </w:pPr>
    </w:p>
    <w:p w14:paraId="63B428EE" w14:textId="77777777" w:rsidR="00FD2DBC" w:rsidRDefault="00FD2DBC" w:rsidP="00FD2DBC">
      <w:pPr>
        <w:pStyle w:val="NormaleWeb"/>
        <w:spacing w:before="60" w:beforeAutospacing="0" w:after="60"/>
      </w:pPr>
      <w:r>
        <w:rPr>
          <w:rStyle w:val="Enfasigrassetto"/>
          <w:rFonts w:ascii="Verdana" w:hAnsi="Verdana"/>
          <w:sz w:val="27"/>
          <w:szCs w:val="27"/>
        </w:rPr>
        <w:t>Indice</w:t>
      </w:r>
    </w:p>
    <w:p w14:paraId="1193137F" w14:textId="77777777" w:rsidR="00FD2DBC" w:rsidRDefault="00FD2DBC" w:rsidP="00FD2DBC">
      <w:pPr>
        <w:pStyle w:val="NormaleWeb"/>
        <w:spacing w:before="60" w:beforeAutospacing="0" w:after="60"/>
      </w:pPr>
      <w:r>
        <w:rPr>
          <w:rStyle w:val="Enfasigrassetto"/>
          <w:rFonts w:ascii="Verdana" w:hAnsi="Verdana"/>
          <w:sz w:val="15"/>
          <w:szCs w:val="15"/>
        </w:rPr>
        <w:t>1. Premessa</w:t>
      </w:r>
    </w:p>
    <w:p w14:paraId="525FAB3A" w14:textId="77777777" w:rsidR="00FD2DBC" w:rsidRDefault="00FD2DBC" w:rsidP="00FD2DBC">
      <w:pPr>
        <w:pStyle w:val="NormaleWeb"/>
        <w:spacing w:before="60" w:beforeAutospacing="0" w:after="60"/>
      </w:pPr>
      <w:r>
        <w:rPr>
          <w:rStyle w:val="Enfasigrassetto"/>
          <w:rFonts w:ascii="Verdana" w:hAnsi="Verdana"/>
          <w:sz w:val="15"/>
          <w:szCs w:val="15"/>
        </w:rPr>
        <w:t>2. Processo di adozione del P.T.P.C.T.</w:t>
      </w:r>
    </w:p>
    <w:p w14:paraId="3B38C3D6" w14:textId="77777777" w:rsidR="00FD2DBC" w:rsidRDefault="00FD2DBC" w:rsidP="00FD2DBC">
      <w:pPr>
        <w:pStyle w:val="NormaleWeb"/>
        <w:spacing w:before="60" w:beforeAutospacing="0" w:after="60"/>
      </w:pPr>
      <w:r>
        <w:rPr>
          <w:rStyle w:val="Enfasigrassetto"/>
          <w:rFonts w:ascii="Verdana" w:hAnsi="Verdana"/>
          <w:sz w:val="15"/>
          <w:szCs w:val="15"/>
        </w:rPr>
        <w:t>3. Gestione del rischio</w:t>
      </w:r>
    </w:p>
    <w:p w14:paraId="0BBDB493" w14:textId="77777777" w:rsidR="00FD2DBC" w:rsidRDefault="00FD2DBC" w:rsidP="00FD2DBC">
      <w:pPr>
        <w:pStyle w:val="NormaleWeb"/>
        <w:spacing w:before="60" w:beforeAutospacing="0" w:after="60"/>
      </w:pPr>
      <w:r>
        <w:rPr>
          <w:rFonts w:ascii="Verdana" w:hAnsi="Verdana"/>
          <w:sz w:val="15"/>
          <w:szCs w:val="15"/>
        </w:rPr>
        <w:t>3.1 Aree di rischio obbligatorie e Aree di rischio specifiche</w:t>
      </w:r>
    </w:p>
    <w:p w14:paraId="07C517FD" w14:textId="77777777" w:rsidR="00FD2DBC" w:rsidRDefault="00FD2DBC" w:rsidP="00FD2DBC">
      <w:pPr>
        <w:pStyle w:val="NormaleWeb"/>
        <w:spacing w:before="60" w:beforeAutospacing="0" w:after="60"/>
      </w:pPr>
      <w:r>
        <w:rPr>
          <w:rFonts w:ascii="Verdana" w:hAnsi="Verdana"/>
          <w:sz w:val="15"/>
          <w:szCs w:val="15"/>
        </w:rPr>
        <w:t>3.2 Modalità di valutazione delle aree di rischio</w:t>
      </w:r>
    </w:p>
    <w:p w14:paraId="2F35FB4F" w14:textId="77777777" w:rsidR="00FD2DBC" w:rsidRDefault="00FD2DBC" w:rsidP="00FD2DBC">
      <w:pPr>
        <w:pStyle w:val="NormaleWeb"/>
        <w:spacing w:before="60" w:beforeAutospacing="0" w:after="60"/>
      </w:pPr>
      <w:r>
        <w:rPr>
          <w:rFonts w:ascii="Verdana" w:hAnsi="Verdana"/>
          <w:sz w:val="15"/>
          <w:szCs w:val="15"/>
        </w:rPr>
        <w:t>3.3 Misure di prevenzione utili a ridurre la probabilità che il rischio si verifichi</w:t>
      </w:r>
    </w:p>
    <w:p w14:paraId="44F6DA98" w14:textId="77777777" w:rsidR="00FD2DBC" w:rsidRDefault="00FD2DBC" w:rsidP="00FD2DBC">
      <w:pPr>
        <w:pStyle w:val="NormaleWeb"/>
        <w:spacing w:before="60" w:beforeAutospacing="0" w:after="60"/>
      </w:pPr>
      <w:r>
        <w:rPr>
          <w:rStyle w:val="Enfasigrassetto"/>
          <w:rFonts w:ascii="Verdana" w:hAnsi="Verdana"/>
          <w:sz w:val="15"/>
          <w:szCs w:val="15"/>
        </w:rPr>
        <w:t>4. Formazione in tema di prevenzione della corruzione</w:t>
      </w:r>
    </w:p>
    <w:p w14:paraId="4D2CCB57" w14:textId="77777777" w:rsidR="00FD2DBC" w:rsidRDefault="00FD2DBC" w:rsidP="00FD2DBC">
      <w:pPr>
        <w:pStyle w:val="NormaleWeb"/>
        <w:spacing w:before="60" w:beforeAutospacing="0" w:after="60"/>
      </w:pPr>
      <w:r>
        <w:rPr>
          <w:rFonts w:ascii="Verdana" w:hAnsi="Verdana"/>
          <w:sz w:val="15"/>
          <w:szCs w:val="15"/>
        </w:rPr>
        <w:t>4.1 Formazione generale</w:t>
      </w:r>
    </w:p>
    <w:p w14:paraId="4A81A571" w14:textId="77777777" w:rsidR="00FD2DBC" w:rsidRDefault="00FD2DBC" w:rsidP="00FD2DBC">
      <w:pPr>
        <w:pStyle w:val="NormaleWeb"/>
        <w:spacing w:before="60" w:beforeAutospacing="0" w:after="60"/>
      </w:pPr>
      <w:r>
        <w:rPr>
          <w:rFonts w:ascii="Verdana" w:hAnsi="Verdana"/>
          <w:sz w:val="15"/>
          <w:szCs w:val="15"/>
        </w:rPr>
        <w:t>4.2 Formazione specifica</w:t>
      </w:r>
    </w:p>
    <w:p w14:paraId="6AB4BBE9" w14:textId="77777777" w:rsidR="00FD2DBC" w:rsidRDefault="00FD2DBC" w:rsidP="00FD2DBC">
      <w:pPr>
        <w:pStyle w:val="NormaleWeb"/>
        <w:spacing w:before="60" w:beforeAutospacing="0" w:after="60"/>
      </w:pPr>
      <w:r>
        <w:rPr>
          <w:rStyle w:val="Enfasigrassetto"/>
          <w:rFonts w:ascii="Verdana" w:hAnsi="Verdana"/>
          <w:sz w:val="15"/>
          <w:szCs w:val="15"/>
        </w:rPr>
        <w:t>5. Codici di comportamento</w:t>
      </w:r>
    </w:p>
    <w:p w14:paraId="3299CE02" w14:textId="77777777" w:rsidR="00FD2DBC" w:rsidRDefault="00FD2DBC" w:rsidP="00FD2DBC">
      <w:pPr>
        <w:pStyle w:val="NormaleWeb"/>
        <w:spacing w:before="60" w:beforeAutospacing="0" w:after="60"/>
      </w:pPr>
      <w:r>
        <w:rPr>
          <w:rStyle w:val="Enfasigrassetto"/>
          <w:rFonts w:ascii="Verdana" w:hAnsi="Verdana"/>
          <w:sz w:val="15"/>
          <w:szCs w:val="15"/>
        </w:rPr>
        <w:t>6. Trasparenza</w:t>
      </w:r>
    </w:p>
    <w:p w14:paraId="5180FFF0" w14:textId="77777777" w:rsidR="00FD2DBC" w:rsidRDefault="00FD2DBC" w:rsidP="00FD2DBC">
      <w:pPr>
        <w:pStyle w:val="NormaleWeb"/>
        <w:spacing w:before="60" w:beforeAutospacing="0" w:after="60"/>
      </w:pPr>
      <w:r>
        <w:rPr>
          <w:rStyle w:val="Enfasigrassetto"/>
          <w:rFonts w:ascii="Verdana" w:hAnsi="Verdana"/>
          <w:sz w:val="15"/>
          <w:szCs w:val="15"/>
        </w:rPr>
        <w:t>7. Altre iniziative</w:t>
      </w:r>
    </w:p>
    <w:p w14:paraId="5CE77287" w14:textId="77777777" w:rsidR="00FD2DBC" w:rsidRDefault="00FD2DBC" w:rsidP="00FD2DBC">
      <w:pPr>
        <w:pStyle w:val="NormaleWeb"/>
        <w:spacing w:before="60" w:beforeAutospacing="0" w:after="60"/>
      </w:pPr>
      <w:r>
        <w:rPr>
          <w:rFonts w:ascii="Verdana" w:hAnsi="Verdana"/>
          <w:sz w:val="15"/>
          <w:szCs w:val="15"/>
        </w:rPr>
        <w:t>7.1 Indicazione dei criteri di rotazione del personale</w:t>
      </w:r>
    </w:p>
    <w:p w14:paraId="362184CD" w14:textId="77777777" w:rsidR="00FD2DBC" w:rsidRDefault="00FD2DBC" w:rsidP="00FD2DBC">
      <w:pPr>
        <w:pStyle w:val="NormaleWeb"/>
        <w:spacing w:before="60" w:beforeAutospacing="0" w:after="60"/>
        <w:jc w:val="both"/>
      </w:pPr>
      <w:r>
        <w:rPr>
          <w:rFonts w:ascii="Verdana" w:hAnsi="Verdana"/>
          <w:sz w:val="15"/>
          <w:szCs w:val="15"/>
        </w:rPr>
        <w:t>7.2 Indicazione delle disposizioni relative al ricorso all’arbitrato con modalità che ne assicurino la pubblicità e la rotazione</w:t>
      </w:r>
    </w:p>
    <w:p w14:paraId="3EF08B8F" w14:textId="77777777" w:rsidR="00FD2DBC" w:rsidRDefault="00FD2DBC" w:rsidP="00FD2DBC">
      <w:pPr>
        <w:pStyle w:val="NormaleWeb"/>
        <w:spacing w:before="60" w:beforeAutospacing="0" w:after="60"/>
        <w:jc w:val="both"/>
      </w:pPr>
      <w:r>
        <w:rPr>
          <w:rFonts w:ascii="Verdana" w:hAnsi="Verdana"/>
          <w:sz w:val="15"/>
          <w:szCs w:val="15"/>
        </w:rPr>
        <w:t>7.3 Elaborazione della proposta di regolamento per disciplinare gli incarichi e le attività non consentite ai pubblici dipendenti</w:t>
      </w:r>
    </w:p>
    <w:p w14:paraId="2D26B3AF" w14:textId="77777777" w:rsidR="00FD2DBC" w:rsidRDefault="00FD2DBC" w:rsidP="00FD2DBC">
      <w:pPr>
        <w:pStyle w:val="NormaleWeb"/>
        <w:spacing w:before="60" w:beforeAutospacing="0" w:after="60"/>
        <w:jc w:val="both"/>
      </w:pPr>
      <w:r>
        <w:rPr>
          <w:rFonts w:ascii="Verdana" w:hAnsi="Verdana"/>
          <w:sz w:val="15"/>
          <w:szCs w:val="15"/>
        </w:rPr>
        <w:t>7.4 Elaborazione di direttive per l’attribuzione degli incarichi dirigenziali con la definizione delle cause ostative al conferimento e verifica dell’insussistenza di cause di incompatibilità</w:t>
      </w:r>
    </w:p>
    <w:p w14:paraId="40C80608" w14:textId="77777777" w:rsidR="00FD2DBC" w:rsidRDefault="00FD2DBC" w:rsidP="00FD2DBC">
      <w:pPr>
        <w:pStyle w:val="NormaleWeb"/>
        <w:spacing w:before="60" w:beforeAutospacing="0" w:after="60"/>
        <w:jc w:val="both"/>
      </w:pPr>
      <w:r>
        <w:rPr>
          <w:rFonts w:ascii="Verdana" w:hAnsi="Verdana"/>
          <w:sz w:val="15"/>
          <w:szCs w:val="15"/>
        </w:rPr>
        <w:t>7.5 Definizione di modalità per verificare il rispetto del divieto di svolgere attività incompatibili a seguito della cessazione del rapporto</w:t>
      </w:r>
    </w:p>
    <w:p w14:paraId="549C495B" w14:textId="77777777" w:rsidR="00FD2DBC" w:rsidRDefault="00FD2DBC" w:rsidP="00FD2DBC">
      <w:pPr>
        <w:pStyle w:val="NormaleWeb"/>
        <w:spacing w:before="60" w:beforeAutospacing="0" w:after="60"/>
        <w:jc w:val="both"/>
      </w:pPr>
      <w:r>
        <w:rPr>
          <w:rFonts w:ascii="Verdana" w:hAnsi="Verdana"/>
          <w:sz w:val="15"/>
          <w:szCs w:val="15"/>
        </w:rPr>
        <w:t>7.6 Elaborazione di direttive per effettuare controlli su precedenti penali ai fini dell’attribuzione degli incarichi e dell’assegnazione ad uffici</w:t>
      </w:r>
    </w:p>
    <w:p w14:paraId="0AB709D8" w14:textId="77777777" w:rsidR="00FD2DBC" w:rsidRDefault="00FD2DBC" w:rsidP="00FD2DBC">
      <w:pPr>
        <w:pStyle w:val="NormaleWeb"/>
        <w:spacing w:before="60" w:beforeAutospacing="0" w:after="60"/>
        <w:jc w:val="both"/>
      </w:pPr>
      <w:r>
        <w:rPr>
          <w:rFonts w:ascii="Verdana" w:hAnsi="Verdana"/>
          <w:sz w:val="15"/>
          <w:szCs w:val="15"/>
        </w:rPr>
        <w:t>7.7 Adozione di misure per la tutela del whistleblower</w:t>
      </w:r>
    </w:p>
    <w:p w14:paraId="2B015885" w14:textId="77777777" w:rsidR="00FD2DBC" w:rsidRDefault="00FD2DBC" w:rsidP="00FD2DBC">
      <w:pPr>
        <w:pStyle w:val="NormaleWeb"/>
        <w:spacing w:before="60" w:beforeAutospacing="0" w:after="60"/>
        <w:jc w:val="both"/>
      </w:pPr>
      <w:r>
        <w:rPr>
          <w:rFonts w:ascii="Verdana" w:hAnsi="Verdana"/>
          <w:sz w:val="15"/>
          <w:szCs w:val="15"/>
        </w:rPr>
        <w:t>7.8 Predisposizione protocollo di legalità per gli affidamenti</w:t>
      </w:r>
    </w:p>
    <w:p w14:paraId="6DADB0DE" w14:textId="77777777" w:rsidR="00FD2DBC" w:rsidRDefault="00FD2DBC" w:rsidP="00FD2DBC">
      <w:pPr>
        <w:pStyle w:val="NormaleWeb"/>
        <w:spacing w:before="60" w:beforeAutospacing="0" w:after="60"/>
        <w:jc w:val="both"/>
      </w:pPr>
      <w:r>
        <w:rPr>
          <w:rFonts w:ascii="Verdana" w:hAnsi="Verdana"/>
          <w:sz w:val="15"/>
          <w:szCs w:val="15"/>
        </w:rPr>
        <w:t>7.9 Realizzazione del sistema di monitoraggio del rispetto dei termini, previsti dalla legge o dal regolamento, per la conclusione dei procedimenti</w:t>
      </w:r>
    </w:p>
    <w:p w14:paraId="3B672A96" w14:textId="77777777" w:rsidR="00FD2DBC" w:rsidRDefault="00FD2DBC" w:rsidP="00FD2DBC">
      <w:pPr>
        <w:pStyle w:val="NormaleWeb"/>
        <w:spacing w:before="60" w:beforeAutospacing="0" w:after="60"/>
        <w:jc w:val="both"/>
      </w:pPr>
      <w:r>
        <w:rPr>
          <w:rFonts w:ascii="Verdana" w:hAnsi="Verdana"/>
          <w:sz w:val="15"/>
          <w:szCs w:val="15"/>
        </w:rPr>
        <w:t>7.10 Realizzazione di un sistema di monitoraggio dei rapporti tra l’amministrazione e i soggetti che con essa stipulano contratti e indicazione delle ulteriori iniziative nell’ambito dei contratti pubblici</w:t>
      </w:r>
    </w:p>
    <w:p w14:paraId="7FD992BB" w14:textId="77777777" w:rsidR="00FD2DBC" w:rsidRDefault="00FD2DBC" w:rsidP="00FD2DBC">
      <w:pPr>
        <w:pStyle w:val="NormaleWeb"/>
        <w:spacing w:before="60" w:beforeAutospacing="0" w:after="60"/>
        <w:jc w:val="both"/>
      </w:pPr>
      <w:r>
        <w:rPr>
          <w:rFonts w:ascii="Verdana" w:hAnsi="Verdana"/>
          <w:sz w:val="15"/>
          <w:szCs w:val="15"/>
        </w:rPr>
        <w:t>7.11 Indicazione delle iniziative previste nell’ambito dell’erogazione di sovvenzioni, contributi, sussidi, ausili finanziari nonché attribuzione di vantaggi economici di qualunque genere</w:t>
      </w:r>
    </w:p>
    <w:p w14:paraId="58DF12C2" w14:textId="77777777" w:rsidR="00FD2DBC" w:rsidRDefault="00FD2DBC" w:rsidP="00FD2DBC">
      <w:pPr>
        <w:pStyle w:val="NormaleWeb"/>
        <w:spacing w:before="60" w:beforeAutospacing="0" w:after="60"/>
        <w:jc w:val="both"/>
      </w:pPr>
      <w:r>
        <w:rPr>
          <w:rFonts w:ascii="Verdana" w:hAnsi="Verdana"/>
          <w:sz w:val="15"/>
          <w:szCs w:val="15"/>
        </w:rPr>
        <w:t>7.12 Indicazione delle iniziative previste nell’ambito di concorsi e selezione del personale</w:t>
      </w:r>
    </w:p>
    <w:p w14:paraId="00DF7C04" w14:textId="77777777" w:rsidR="00FD2DBC" w:rsidRDefault="00FD2DBC" w:rsidP="00FD2DBC">
      <w:pPr>
        <w:pStyle w:val="NormaleWeb"/>
        <w:spacing w:before="60" w:beforeAutospacing="0" w:after="60"/>
        <w:jc w:val="both"/>
      </w:pPr>
      <w:r>
        <w:rPr>
          <w:rFonts w:ascii="Verdana" w:hAnsi="Verdana"/>
          <w:sz w:val="15"/>
          <w:szCs w:val="15"/>
        </w:rPr>
        <w:t>7.13 Indicazione delle iniziative previste nell’ambito delle attività ispettive </w:t>
      </w:r>
    </w:p>
    <w:p w14:paraId="18A54946" w14:textId="615D6FDA" w:rsidR="00FD2DBC" w:rsidRDefault="00FD2DBC">
      <w:pPr>
        <w:rPr>
          <w:rFonts w:ascii="Times New Roman" w:eastAsia="Times New Roman" w:hAnsi="Times New Roman" w:cs="Times New Roman"/>
          <w:sz w:val="24"/>
          <w:szCs w:val="24"/>
          <w:lang w:eastAsia="it-IT"/>
        </w:rPr>
      </w:pPr>
      <w:r>
        <w:br w:type="page"/>
      </w:r>
    </w:p>
    <w:p w14:paraId="5898E213" w14:textId="77777777" w:rsidR="00FD2DBC" w:rsidRDefault="00FD2DBC" w:rsidP="00FD2DBC">
      <w:pPr>
        <w:pStyle w:val="NormaleWeb"/>
        <w:spacing w:before="60" w:beforeAutospacing="0" w:after="60"/>
      </w:pPr>
    </w:p>
    <w:p w14:paraId="17F8AF2A" w14:textId="77777777" w:rsidR="00FD2DBC" w:rsidRDefault="00FD2DBC" w:rsidP="00FD2DBC">
      <w:pPr>
        <w:pStyle w:val="NormaleWeb"/>
        <w:spacing w:before="60" w:beforeAutospacing="0" w:after="60"/>
      </w:pPr>
      <w:r>
        <w:rPr>
          <w:rFonts w:ascii="Verdana" w:hAnsi="Verdana"/>
          <w:sz w:val="15"/>
          <w:szCs w:val="15"/>
        </w:rPr>
        <w:t> </w:t>
      </w:r>
    </w:p>
    <w:p w14:paraId="3A64AE18" w14:textId="77777777" w:rsidR="00FD2DBC" w:rsidRDefault="00FD2DBC" w:rsidP="00FD2DBC">
      <w:pPr>
        <w:pStyle w:val="NormaleWeb"/>
        <w:spacing w:before="60" w:beforeAutospacing="0" w:after="60"/>
      </w:pPr>
      <w:r>
        <w:rPr>
          <w:rStyle w:val="Enfasigrassetto"/>
          <w:rFonts w:ascii="Verdana" w:hAnsi="Verdana"/>
          <w:sz w:val="27"/>
          <w:szCs w:val="27"/>
        </w:rPr>
        <w:t>1. Premessa</w:t>
      </w:r>
    </w:p>
    <w:p w14:paraId="4377AA05" w14:textId="77777777" w:rsidR="00FD2DBC" w:rsidRDefault="00FD2DBC" w:rsidP="00FD2DBC">
      <w:pPr>
        <w:pStyle w:val="NormaleWeb"/>
        <w:spacing w:before="60" w:beforeAutospacing="0" w:after="60"/>
      </w:pPr>
      <w:r>
        <w:rPr>
          <w:rFonts w:ascii="Verdana" w:hAnsi="Verdana"/>
          <w:sz w:val="15"/>
          <w:szCs w:val="15"/>
        </w:rPr>
        <w:t>Il 6 novembre 2012 è entrata in vigore la legge n. 190, recante ''Disposizioni per la prevenzione e la repressione della corruzione e dell'illegalità nella pubblico amministrazione" emanata in attuazione di:</w:t>
      </w:r>
    </w:p>
    <w:p w14:paraId="60C25523" w14:textId="77777777" w:rsidR="00FD2DBC" w:rsidRDefault="00FD2DBC" w:rsidP="00FD2DBC">
      <w:pPr>
        <w:numPr>
          <w:ilvl w:val="0"/>
          <w:numId w:val="1"/>
        </w:numPr>
        <w:spacing w:before="60" w:after="60" w:line="240" w:lineRule="auto"/>
        <w:rPr>
          <w:rFonts w:eastAsia="Times New Roman"/>
        </w:rPr>
      </w:pPr>
      <w:r>
        <w:rPr>
          <w:rFonts w:ascii="Verdana" w:eastAsia="Times New Roman" w:hAnsi="Verdana"/>
          <w:sz w:val="15"/>
          <w:szCs w:val="15"/>
        </w:rPr>
        <w:t>articolo 6 della Convenzione O.N.U contro la corruzione, adottata dall'Assemblea generale O.N.U. il 31 ottobre 2003, con risoluzione n. 58/4, firmata dallo Stato italiano il 9 dicembre 2003 e ratificata con legge 3 agosto 2009, n.116;</w:t>
      </w:r>
    </w:p>
    <w:p w14:paraId="1A48F8F5" w14:textId="77777777" w:rsidR="00FD2DBC" w:rsidRDefault="00FD2DBC" w:rsidP="00FD2DBC">
      <w:pPr>
        <w:numPr>
          <w:ilvl w:val="0"/>
          <w:numId w:val="1"/>
        </w:numPr>
        <w:spacing w:before="60" w:after="60" w:line="240" w:lineRule="auto"/>
        <w:rPr>
          <w:rFonts w:eastAsia="Times New Roman"/>
        </w:rPr>
      </w:pPr>
      <w:r>
        <w:rPr>
          <w:rFonts w:ascii="Verdana" w:eastAsia="Times New Roman" w:hAnsi="Verdana"/>
          <w:sz w:val="15"/>
          <w:szCs w:val="15"/>
        </w:rPr>
        <w:t>articoli 20 e 21 della Convenzione penale sulla corruzione, stipulata a Strasburgo il 27 gennaio 1999 e ratificata ai sensi della legge 28 giugno 2012, n.110.</w:t>
      </w:r>
    </w:p>
    <w:p w14:paraId="7C838F4A" w14:textId="77777777" w:rsidR="00FD2DBC" w:rsidRDefault="00FD2DBC" w:rsidP="00FD2DBC">
      <w:pPr>
        <w:pStyle w:val="NormaleWeb"/>
        <w:spacing w:before="60" w:beforeAutospacing="0" w:after="60"/>
        <w:jc w:val="both"/>
        <w:rPr>
          <w:rFonts w:eastAsiaTheme="minorEastAsia"/>
        </w:rPr>
      </w:pPr>
      <w:r>
        <w:rPr>
          <w:rFonts w:ascii="Verdana" w:hAnsi="Verdana"/>
          <w:sz w:val="15"/>
          <w:szCs w:val="15"/>
        </w:rPr>
        <w:t>La legge propone nuove norme per la prevenzione e il contrasto di fenomeni di illegalità nelle pubbliche amministrazioni, norme che si pongono in continuità con quelle in precedenza emanate in materia di promozione dell'integrità e della trasparenza nelle pubbliche amministrazioni.</w:t>
      </w:r>
    </w:p>
    <w:p w14:paraId="5E1D043D" w14:textId="77777777" w:rsidR="00FD2DBC" w:rsidRDefault="00FD2DBC" w:rsidP="00FD2DBC">
      <w:pPr>
        <w:pStyle w:val="NormaleWeb"/>
        <w:spacing w:before="60" w:beforeAutospacing="0" w:after="60"/>
        <w:jc w:val="both"/>
      </w:pPr>
      <w:r>
        <w:rPr>
          <w:rFonts w:ascii="Verdana" w:hAnsi="Verdana"/>
          <w:sz w:val="15"/>
          <w:szCs w:val="15"/>
        </w:rPr>
        <w:t>Ai sensi dell’ art. 1, comma 2, lett. b) e comma 4 lett. c) della L. 190/2012, in data 6 settembre 2013 il Dipartimento della Funzione Pubblica ha predisposto il Piano Nazionale Anticorruzione (PNA) - approvato dalla CIVIT con delibera 72 dell’11 settembre 2013 in cui, tra l’altro, è prevista l’adozione di un piano triennale anticorruzione da parte di ciascuna Pubblica Amministrazione. Il PNA viene costantemente aggiornato dall’ANAC, Autorità Nazionale Anticorruzione la quale ha assorbito anche i compiti precedentemente assegnati alla CIVIT. Su indicazioni dell’ANAC è stata sviluppata una unificazione tra il piano triennale anticorruzione ed il programma triennale per l’integrità e la trasparenza (previsto dal D.Lgs. 33/2013) dando vita al Piano Triennale per la prevenzione della Corruzione e della Trasparenza (P.T.P.C.T.).</w:t>
      </w:r>
    </w:p>
    <w:p w14:paraId="1A3889D4" w14:textId="77777777" w:rsidR="00FD2DBC" w:rsidRDefault="00FD2DBC" w:rsidP="00FD2DBC">
      <w:pPr>
        <w:pStyle w:val="NormaleWeb"/>
        <w:spacing w:before="60" w:beforeAutospacing="0" w:after="60"/>
        <w:jc w:val="both"/>
      </w:pPr>
      <w:r>
        <w:rPr>
          <w:rFonts w:ascii="Verdana" w:hAnsi="Verdana"/>
          <w:sz w:val="15"/>
          <w:szCs w:val="15"/>
        </w:rPr>
        <w:t>Il legislatore pertanto prevede diversi livelli di intervento dei due principali strumenti che intendono aggredire il fenomeno corruttivo: il Piano Nazionale Anticorruzione (PNA) - a livello nazionale; il Piano Triennale di Prevenzione alla Corruzione e della Trasparenza (P.T.P.C.T.), con riferimento alla singola amministrazione.</w:t>
      </w:r>
    </w:p>
    <w:p w14:paraId="060C528D" w14:textId="77777777" w:rsidR="00FD2DBC" w:rsidRDefault="00FD2DBC" w:rsidP="00FD2DBC">
      <w:pPr>
        <w:pStyle w:val="NormaleWeb"/>
        <w:spacing w:before="60" w:beforeAutospacing="0" w:after="60"/>
        <w:jc w:val="both"/>
      </w:pPr>
      <w:r>
        <w:rPr>
          <w:rFonts w:ascii="Verdana" w:hAnsi="Verdana"/>
          <w:sz w:val="15"/>
          <w:szCs w:val="15"/>
        </w:rPr>
        <w:t>In sostanza la prevenzione si realizza mediante un’azione coordinata tra strategia nazionale e strategia interna a ciascuna amministrazione in modo da conciliare la coerenza complessiva del sistema con l’esigenza di lasciare ambiti di autonomia alle singole amministrazioni per assicurare efficacia ed efficienza alle soluzioni localmente adottate.</w:t>
      </w:r>
    </w:p>
    <w:p w14:paraId="21C7981B" w14:textId="77777777" w:rsidR="00FD2DBC" w:rsidRDefault="00FD2DBC" w:rsidP="00FD2DBC">
      <w:pPr>
        <w:pStyle w:val="NormaleWeb"/>
        <w:spacing w:before="60" w:beforeAutospacing="0" w:after="60"/>
        <w:jc w:val="both"/>
      </w:pPr>
      <w:r>
        <w:rPr>
          <w:rFonts w:ascii="Verdana" w:hAnsi="Verdana"/>
          <w:sz w:val="15"/>
          <w:szCs w:val="15"/>
        </w:rPr>
        <w:t>Il PNA si pone l’obiettivo di assicurare, nell’ambito delle pubbliche amministrazioni, l’attuazione coordinata delle strategie di prevenzione della corruzione elaborate a livello nazionale ed internazionale e, attraverso una costante attenzione agli esiti delle misure legali e di quelle ulteriori applicate dalle singole amministrazioni, ottimizzare progressivamente il sistema di prevenzione.</w:t>
      </w:r>
    </w:p>
    <w:p w14:paraId="01231616" w14:textId="77777777" w:rsidR="00FD2DBC" w:rsidRDefault="00FD2DBC" w:rsidP="00FD2DBC">
      <w:pPr>
        <w:pStyle w:val="NormaleWeb"/>
        <w:spacing w:before="60" w:beforeAutospacing="0" w:after="60"/>
        <w:jc w:val="both"/>
      </w:pPr>
      <w:r>
        <w:rPr>
          <w:rFonts w:ascii="Verdana" w:hAnsi="Verdana"/>
          <w:sz w:val="15"/>
          <w:szCs w:val="15"/>
        </w:rPr>
        <w:t>I P.T.P.C.T. costituiscono lo strumento che consente a ciascuna amministrazione di dare concreta applicazione alle misure di prevenzione disciplinate direttamente dalla Legge nonché alle misure che, tenuto conto della specificità di azione, ogni Organizzazione intende introdurre per un più efficace contrasto al fenomeno della corruzione.</w:t>
      </w:r>
    </w:p>
    <w:p w14:paraId="3A12E80A" w14:textId="77777777" w:rsidR="00FD2DBC" w:rsidRDefault="00FD2DBC" w:rsidP="00FD2DBC">
      <w:pPr>
        <w:pStyle w:val="NormaleWeb"/>
        <w:spacing w:before="60" w:beforeAutospacing="0" w:after="60"/>
        <w:jc w:val="both"/>
      </w:pPr>
      <w:r>
        <w:rPr>
          <w:rFonts w:ascii="Verdana" w:hAnsi="Verdana"/>
          <w:sz w:val="15"/>
          <w:szCs w:val="15"/>
        </w:rPr>
        <w:t>Attraverso l’adozione del P.T.P.C.T. l’ente, dopo aver riconsiderato il proprio assetto organizzativo, i processi operativi, le regole e le prassi interne in termini di possibile sussistenza di aree a rischio di corruzione, delinea un programma di azioni che, coerenti tra loro ed in linea con le previsioni normative, si pone come concreto obiettivo la significativa riduzione del rischio di comportamenti corrotti all’interno dell’organizzazione attraverso un sistema di gestione del rischio che dinamicamente, tenuto conto degli esiti degli interventi attuati, assicuri un miglioramento continuo degli strumenti di controllo adottati.</w:t>
      </w:r>
    </w:p>
    <w:p w14:paraId="025C9B42" w14:textId="77777777" w:rsidR="00FD2DBC" w:rsidRDefault="00FD2DBC" w:rsidP="00FD2DBC">
      <w:pPr>
        <w:pStyle w:val="NormaleWeb"/>
        <w:spacing w:before="60" w:beforeAutospacing="0" w:after="60"/>
        <w:jc w:val="both"/>
      </w:pPr>
      <w:r>
        <w:rPr>
          <w:rFonts w:ascii="Verdana" w:hAnsi="Verdana"/>
          <w:sz w:val="15"/>
          <w:szCs w:val="15"/>
        </w:rPr>
        <w:t>Più nello specifico il P.T.P.C.T. deve:</w:t>
      </w:r>
    </w:p>
    <w:p w14:paraId="35BCE6D4" w14:textId="77777777" w:rsidR="00FD2DBC" w:rsidRDefault="00FD2DBC" w:rsidP="00FD2DBC">
      <w:pPr>
        <w:pStyle w:val="NormaleWeb"/>
        <w:spacing w:before="60" w:beforeAutospacing="0" w:after="60"/>
        <w:ind w:left="720"/>
        <w:jc w:val="both"/>
      </w:pPr>
      <w:r>
        <w:rPr>
          <w:rFonts w:ascii="Verdana" w:hAnsi="Verdana"/>
          <w:sz w:val="15"/>
          <w:szCs w:val="15"/>
        </w:rPr>
        <w:t>a) individuare le attività, nell’ambito delle quali è più elevato il rischio di corruzione, anche raccogliendo le proposte dei dirigenti, elaborate nell’esercizio delle competenze previste dall’articolo 16, comma 1, lettera a-bis, del D.lgs. 30 marzo 2001, n. 165;</w:t>
      </w:r>
    </w:p>
    <w:p w14:paraId="2AF0212B" w14:textId="77777777" w:rsidR="00FD2DBC" w:rsidRDefault="00FD2DBC" w:rsidP="00FD2DBC">
      <w:pPr>
        <w:pStyle w:val="NormaleWeb"/>
        <w:spacing w:before="60" w:beforeAutospacing="0" w:after="60"/>
        <w:ind w:left="720"/>
        <w:jc w:val="both"/>
      </w:pPr>
      <w:r>
        <w:rPr>
          <w:rFonts w:ascii="Verdana" w:hAnsi="Verdana"/>
          <w:sz w:val="15"/>
          <w:szCs w:val="15"/>
        </w:rPr>
        <w:t>b) prevedere, per le attività individuate ai sensi della lettera a), meccanismi di formazione, attuazione e controllo delle decisioni idonei a prevenire il rischio di corruzione;</w:t>
      </w:r>
    </w:p>
    <w:p w14:paraId="59354A68" w14:textId="77777777" w:rsidR="00FD2DBC" w:rsidRDefault="00FD2DBC" w:rsidP="00FD2DBC">
      <w:pPr>
        <w:pStyle w:val="NormaleWeb"/>
        <w:spacing w:before="60" w:beforeAutospacing="0" w:after="60"/>
        <w:ind w:left="720"/>
        <w:jc w:val="both"/>
      </w:pPr>
      <w:r>
        <w:rPr>
          <w:rFonts w:ascii="Verdana" w:hAnsi="Verdana"/>
          <w:sz w:val="15"/>
          <w:szCs w:val="15"/>
        </w:rPr>
        <w:t>c) prevedere, con particolare riguardo alle attività individuate ai sensi della lettera a), obblighi di informazione nei con fronti del responsabile, individuato ai sensi del comma 7, chiamato a vigilare sul funzionamento e sull’osservanza del Piano;</w:t>
      </w:r>
    </w:p>
    <w:p w14:paraId="6C74652D" w14:textId="77777777" w:rsidR="00FD2DBC" w:rsidRDefault="00FD2DBC" w:rsidP="00FD2DBC">
      <w:pPr>
        <w:pStyle w:val="NormaleWeb"/>
        <w:spacing w:before="60" w:beforeAutospacing="0" w:after="60"/>
        <w:ind w:left="720"/>
        <w:jc w:val="both"/>
      </w:pPr>
      <w:r>
        <w:rPr>
          <w:rFonts w:ascii="Verdana" w:hAnsi="Verdana"/>
          <w:sz w:val="15"/>
          <w:szCs w:val="15"/>
        </w:rPr>
        <w:t>d) monitorare il rispetto dei termini, previsti dalla legge o dai regolamenti, per la conclusione dei procedimenti;</w:t>
      </w:r>
    </w:p>
    <w:p w14:paraId="485A50AE" w14:textId="77777777" w:rsidR="00FD2DBC" w:rsidRDefault="00FD2DBC" w:rsidP="00FD2DBC">
      <w:pPr>
        <w:pStyle w:val="NormaleWeb"/>
        <w:spacing w:before="60" w:beforeAutospacing="0" w:after="60"/>
        <w:ind w:left="720"/>
        <w:jc w:val="both"/>
      </w:pPr>
      <w:r>
        <w:rPr>
          <w:rFonts w:ascii="Verdana" w:hAnsi="Verdana"/>
          <w:sz w:val="15"/>
          <w:szCs w:val="15"/>
        </w:rPr>
        <w:t>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14:paraId="4BD5FB40" w14:textId="77777777" w:rsidR="00FD2DBC" w:rsidRDefault="00FD2DBC" w:rsidP="00FD2DBC">
      <w:pPr>
        <w:pStyle w:val="NormaleWeb"/>
        <w:spacing w:before="60" w:beforeAutospacing="0" w:after="60"/>
        <w:ind w:left="720"/>
        <w:jc w:val="both"/>
      </w:pPr>
      <w:r>
        <w:rPr>
          <w:rFonts w:ascii="Verdana" w:hAnsi="Verdana"/>
          <w:sz w:val="15"/>
          <w:szCs w:val="15"/>
        </w:rPr>
        <w:t>f) individuare specifici obblighi di trasparenza ulteriori rispetto a quelli previsti da disposizioni di legge.</w:t>
      </w:r>
    </w:p>
    <w:p w14:paraId="6B14B07F" w14:textId="77777777" w:rsidR="00FD2DBC" w:rsidRDefault="00FD2DBC" w:rsidP="00FD2DBC">
      <w:pPr>
        <w:pStyle w:val="NormaleWeb"/>
        <w:spacing w:before="60" w:beforeAutospacing="0" w:after="60"/>
        <w:jc w:val="both"/>
      </w:pPr>
      <w:r>
        <w:rPr>
          <w:rFonts w:ascii="Verdana" w:hAnsi="Verdana"/>
          <w:sz w:val="15"/>
          <w:szCs w:val="15"/>
        </w:rPr>
        <w:t> La pianificazione dell’attività anticorruzione realizza così un coordinamento fra i diversi livelli di governo della P.A. consentendo uno scambio di informazioni indispensabile soprattutto per favorire l’evoluzione del sistema verso forme sempre più efficienti ed economicamente sostenibili.</w:t>
      </w:r>
    </w:p>
    <w:p w14:paraId="13C3E7B5" w14:textId="77777777" w:rsidR="00FD2DBC" w:rsidRDefault="00FD2DBC" w:rsidP="00FD2DBC">
      <w:pPr>
        <w:pStyle w:val="NormaleWeb"/>
        <w:spacing w:before="60" w:beforeAutospacing="0" w:after="60"/>
        <w:jc w:val="both"/>
      </w:pPr>
      <w:r>
        <w:rPr>
          <w:rFonts w:ascii="Verdana" w:hAnsi="Verdana"/>
          <w:sz w:val="15"/>
          <w:szCs w:val="15"/>
        </w:rPr>
        <w:t>Nell’ambito della strategia di prevenzione assume inoltre prioritario rilievo la trasparenza che ai sensi del D. Lgs 33/2013 non si concretizza in un obiettivo di attività ma in uno strumento privilegiato per rendere evidente l’attenzione della pubblica amministrazione all’etica dei comportamenti. Di conseguenza, gli adempimenti imposti dalla predetta disposizione normativa divengono un asset principale dell’azione pubblica, unitamente all’efficienza, la qualità e l’efficacia.</w:t>
      </w:r>
    </w:p>
    <w:p w14:paraId="5D9CD010" w14:textId="77777777" w:rsidR="00FD2DBC" w:rsidRDefault="00FD2DBC" w:rsidP="00FD2DBC">
      <w:pPr>
        <w:pStyle w:val="NormaleWeb"/>
        <w:spacing w:before="60" w:beforeAutospacing="0" w:after="60"/>
        <w:jc w:val="both"/>
      </w:pPr>
      <w:r>
        <w:rPr>
          <w:rFonts w:ascii="Verdana" w:hAnsi="Verdana"/>
          <w:sz w:val="15"/>
          <w:szCs w:val="15"/>
        </w:rPr>
        <w:lastRenderedPageBreak/>
        <w:t>Gli obblighi di trasparenza sono pertanto prioritariamente finalizzati, dal lato delle Amministrazioni, a rendere pubblici in maniera accessibile e completa documenti, informazioni e dati concernenti l’organizzazione e le attività dell’Ente, e dal lato dei cittadini, a consentire la conoscenza delle predette informazioni attraverso l’accesso al sito istituzionale, senza autenticazione e identificazione.</w:t>
      </w:r>
    </w:p>
    <w:p w14:paraId="63E6D053" w14:textId="77777777" w:rsidR="00FD2DBC" w:rsidRDefault="00FD2DBC" w:rsidP="00FD2DBC">
      <w:pPr>
        <w:pStyle w:val="NormaleWeb"/>
        <w:spacing w:before="60" w:beforeAutospacing="0" w:after="60"/>
        <w:jc w:val="both"/>
      </w:pPr>
      <w:r>
        <w:rPr>
          <w:rStyle w:val="Enfasigrassetto"/>
          <w:rFonts w:ascii="Verdana" w:hAnsi="Verdana"/>
          <w:sz w:val="27"/>
          <w:szCs w:val="27"/>
        </w:rPr>
        <w:t> </w:t>
      </w:r>
    </w:p>
    <w:p w14:paraId="28D2EA2D" w14:textId="77777777" w:rsidR="00FD2DBC" w:rsidRDefault="00FD2DBC" w:rsidP="00FD2DBC">
      <w:pPr>
        <w:pStyle w:val="NormaleWeb"/>
        <w:spacing w:before="60" w:beforeAutospacing="0" w:after="60"/>
        <w:jc w:val="both"/>
      </w:pPr>
      <w:r>
        <w:rPr>
          <w:rStyle w:val="Enfasigrassetto"/>
          <w:rFonts w:ascii="Verdana" w:hAnsi="Verdana"/>
          <w:sz w:val="27"/>
          <w:szCs w:val="27"/>
        </w:rPr>
        <w:t>2. Processo di adozione del P.T.P.C.T.</w:t>
      </w:r>
    </w:p>
    <w:p w14:paraId="3E6E9B03" w14:textId="77777777" w:rsidR="00FD2DBC" w:rsidRDefault="00FD2DBC" w:rsidP="00FD2DBC">
      <w:pPr>
        <w:pStyle w:val="NormaleWeb"/>
        <w:spacing w:before="60" w:beforeAutospacing="0" w:after="60"/>
        <w:jc w:val="both"/>
      </w:pPr>
      <w:r>
        <w:rPr>
          <w:rFonts w:ascii="Verdana" w:hAnsi="Verdana"/>
          <w:sz w:val="15"/>
          <w:szCs w:val="15"/>
        </w:rPr>
        <w:t>L’accezione del concetto di rischio in seno al P.T.P.C.T. dell’Ente fa riferimento alla possibilità che si verifichino eventi che influiscano in senso negativo sul raggiungimento delle finalità e degli obiettivi istituzionali e, in ultima istanza, sulla soddisfazione dei bisogni legati all’attuazione della mission dell’Ente.</w:t>
      </w:r>
    </w:p>
    <w:p w14:paraId="343D93B0" w14:textId="77777777" w:rsidR="00FD2DBC" w:rsidRDefault="00FD2DBC" w:rsidP="00FD2DBC">
      <w:pPr>
        <w:pStyle w:val="NormaleWeb"/>
        <w:spacing w:before="60" w:beforeAutospacing="0" w:after="60"/>
        <w:jc w:val="both"/>
      </w:pPr>
      <w:r>
        <w:rPr>
          <w:rFonts w:ascii="Verdana" w:hAnsi="Verdana"/>
          <w:sz w:val="15"/>
          <w:szCs w:val="15"/>
        </w:rPr>
        <w:t>Nel dettaglio, considerando il rischio direttamente collegato al concetto di corruzione, è oggetto di analisi la possibilità che si verifichino eventi non etici, non integri o legati alla corruzione che influiscono in senso negativo sul conseguimento dell’utilizzo trasparente, efficiente, efficace ed equo delle risorse pubbliche.</w:t>
      </w:r>
    </w:p>
    <w:p w14:paraId="3957995C" w14:textId="77777777" w:rsidR="00FD2DBC" w:rsidRDefault="00FD2DBC" w:rsidP="00FD2DBC">
      <w:pPr>
        <w:pStyle w:val="NormaleWeb"/>
        <w:spacing w:before="60" w:beforeAutospacing="0" w:after="60"/>
        <w:jc w:val="both"/>
      </w:pPr>
      <w:r>
        <w:rPr>
          <w:rFonts w:ascii="Verdana" w:hAnsi="Verdana"/>
          <w:sz w:val="15"/>
          <w:szCs w:val="15"/>
        </w:rPr>
        <w:t>Di conseguenza, la gestione del rischio avviene attraverso la realizzazione delle attività e delle iniziative individuate nel Piano dall’Amministrazione ed attivate per la riduzione della probabilità che il rischio si verifichi.</w:t>
      </w:r>
    </w:p>
    <w:p w14:paraId="70A330C4" w14:textId="77777777" w:rsidR="00FD2DBC" w:rsidRDefault="00FD2DBC" w:rsidP="00FD2DBC">
      <w:pPr>
        <w:pStyle w:val="NormaleWeb"/>
        <w:spacing w:before="60" w:beforeAutospacing="0" w:after="60"/>
        <w:jc w:val="both"/>
      </w:pPr>
      <w:r>
        <w:rPr>
          <w:rFonts w:ascii="Verdana" w:hAnsi="Verdana"/>
          <w:sz w:val="15"/>
          <w:szCs w:val="15"/>
        </w:rPr>
        <w:t>Attraverso il Piano l’ Ente si è posto l’obiettivo di:</w:t>
      </w:r>
    </w:p>
    <w:p w14:paraId="3F92C0F2" w14:textId="77777777" w:rsidR="00FD2DBC" w:rsidRDefault="00FD2DBC" w:rsidP="00FD2DBC">
      <w:pPr>
        <w:pStyle w:val="NormaleWeb"/>
        <w:spacing w:before="60" w:beforeAutospacing="0" w:after="60"/>
        <w:jc w:val="both"/>
      </w:pPr>
      <w:r>
        <w:rPr>
          <w:rFonts w:ascii="Verdana" w:hAnsi="Verdana"/>
          <w:sz w:val="15"/>
          <w:szCs w:val="15"/>
        </w:rPr>
        <w:t>- individuare attività, settori esposti al rischio di corruzione,</w:t>
      </w:r>
    </w:p>
    <w:p w14:paraId="7C00D38F" w14:textId="77777777" w:rsidR="00FD2DBC" w:rsidRDefault="00FD2DBC" w:rsidP="00FD2DBC">
      <w:pPr>
        <w:pStyle w:val="NormaleWeb"/>
        <w:spacing w:before="60" w:beforeAutospacing="0" w:after="60"/>
        <w:jc w:val="both"/>
      </w:pPr>
      <w:r>
        <w:rPr>
          <w:rFonts w:ascii="Verdana" w:hAnsi="Verdana"/>
          <w:sz w:val="15"/>
          <w:szCs w:val="15"/>
        </w:rPr>
        <w:t>- individuare misure, meccanismi e strumenti atti a prevenire il rischio di corruzione precedentemente identificato,</w:t>
      </w:r>
    </w:p>
    <w:p w14:paraId="46C11860" w14:textId="77777777" w:rsidR="00FD2DBC" w:rsidRDefault="00FD2DBC" w:rsidP="00FD2DBC">
      <w:pPr>
        <w:pStyle w:val="NormaleWeb"/>
        <w:spacing w:before="60" w:beforeAutospacing="0" w:after="60"/>
        <w:jc w:val="both"/>
      </w:pPr>
      <w:r>
        <w:rPr>
          <w:rFonts w:ascii="Verdana" w:hAnsi="Verdana"/>
          <w:sz w:val="15"/>
          <w:szCs w:val="15"/>
        </w:rPr>
        <w:t>- individuare modalità per implementare e aggiornare le iniziative in modo da renderle dinamicamente in grado di mantenere sempre adeguatamente elevato il livello di controllo preventivo.</w:t>
      </w:r>
    </w:p>
    <w:p w14:paraId="78D0E56D" w14:textId="77777777" w:rsidR="00FD2DBC" w:rsidRDefault="00FD2DBC" w:rsidP="00FD2DBC">
      <w:pPr>
        <w:pStyle w:val="NormaleWeb"/>
        <w:spacing w:before="60" w:beforeAutospacing="0" w:after="60"/>
        <w:jc w:val="both"/>
      </w:pPr>
      <w:r>
        <w:rPr>
          <w:rFonts w:ascii="Verdana" w:hAnsi="Verdana"/>
          <w:sz w:val="15"/>
          <w:szCs w:val="15"/>
        </w:rPr>
        <w:t>Ciò è possibile solo attraverso l’adozione di un approccio di risk management applicato alla dimensione della corruzione.</w:t>
      </w:r>
    </w:p>
    <w:p w14:paraId="00FE7C8A" w14:textId="77777777" w:rsidR="00FD2DBC" w:rsidRDefault="00FD2DBC" w:rsidP="00FD2DBC">
      <w:pPr>
        <w:pStyle w:val="NormaleWeb"/>
        <w:spacing w:before="60" w:beforeAutospacing="0" w:after="60"/>
        <w:jc w:val="both"/>
      </w:pPr>
      <w:r>
        <w:rPr>
          <w:rFonts w:ascii="Verdana" w:hAnsi="Verdana"/>
          <w:sz w:val="15"/>
          <w:szCs w:val="15"/>
        </w:rPr>
        <w:t>I soggetti interni individuati per i vari processi di adozione del P.T.P.C.T. sono: </w:t>
      </w:r>
    </w:p>
    <w:p w14:paraId="3DFC6A03" w14:textId="38758128" w:rsidR="00FD2DBC" w:rsidRDefault="00FD2DBC" w:rsidP="00FD2DBC">
      <w:pPr>
        <w:pStyle w:val="NormaleWeb"/>
        <w:spacing w:before="60" w:beforeAutospacing="0" w:after="60"/>
        <w:jc w:val="both"/>
      </w:pPr>
      <w:r>
        <w:rPr>
          <w:rFonts w:ascii="Verdana" w:hAnsi="Verdana"/>
          <w:sz w:val="15"/>
          <w:szCs w:val="15"/>
        </w:rPr>
        <w:t xml:space="preserve">- l’autorità di indirizzo politico che, oltre ad aver approvato il P.T.P.C.T. </w:t>
      </w:r>
      <w:r w:rsidR="000F1FFE">
        <w:rPr>
          <w:rFonts w:ascii="Verdana" w:hAnsi="Verdana"/>
          <w:sz w:val="15"/>
          <w:szCs w:val="15"/>
        </w:rPr>
        <w:t xml:space="preserve">con delibera di Giunta n. 18 del 12/03/2021 </w:t>
      </w:r>
      <w:r>
        <w:rPr>
          <w:rFonts w:ascii="Verdana" w:hAnsi="Verdana"/>
          <w:sz w:val="15"/>
          <w:szCs w:val="15"/>
        </w:rPr>
        <w:t xml:space="preserve">e ad aver nominato il responsabile della prevenzione della corruzione con </w:t>
      </w:r>
      <w:r w:rsidR="000F1FFE">
        <w:rPr>
          <w:rFonts w:ascii="Verdana" w:hAnsi="Verdana"/>
          <w:sz w:val="15"/>
          <w:szCs w:val="15"/>
        </w:rPr>
        <w:t xml:space="preserve">Decreto di nomina n. 18/2019 del 09/12/2019, </w:t>
      </w:r>
      <w:r>
        <w:rPr>
          <w:rFonts w:ascii="Verdana" w:hAnsi="Verdana"/>
          <w:sz w:val="15"/>
          <w:szCs w:val="15"/>
        </w:rPr>
        <w:t>dovrà adottare tutti gli atti di indirizzo di carattere generale, che siano finalizzati alla prevenzione della corruzione a cominciare dagli aggiornamenti del P.T.P.C.T., entro il 31 gennaio di ogni anno (tranne nei casi in cui le autorità competenti proroghino, in situazioni particolari tale termine); </w:t>
      </w:r>
    </w:p>
    <w:p w14:paraId="177BD18E" w14:textId="77777777" w:rsidR="00FD2DBC" w:rsidRDefault="00FD2DBC" w:rsidP="00FD2DBC">
      <w:pPr>
        <w:pStyle w:val="NormaleWeb"/>
        <w:spacing w:before="60" w:beforeAutospacing="0" w:after="60"/>
        <w:jc w:val="both"/>
      </w:pPr>
      <w:r>
        <w:rPr>
          <w:rFonts w:ascii="Verdana" w:hAnsi="Verdana"/>
          <w:sz w:val="15"/>
          <w:szCs w:val="15"/>
        </w:rPr>
        <w:t>– il Responsabile della prevenzione della corruzione  che ha proposto all’organo di indirizzo politico l’adozione del presente piano. </w:t>
      </w:r>
    </w:p>
    <w:p w14:paraId="0422F913" w14:textId="77777777" w:rsidR="00FD2DBC" w:rsidRDefault="00FD2DBC" w:rsidP="00FD2DBC">
      <w:pPr>
        <w:pStyle w:val="NormaleWeb"/>
        <w:spacing w:before="60" w:beforeAutospacing="0" w:after="60"/>
        <w:jc w:val="both"/>
      </w:pPr>
      <w:r>
        <w:rPr>
          <w:rFonts w:ascii="Verdana" w:hAnsi="Verdana"/>
          <w:sz w:val="15"/>
          <w:szCs w:val="15"/>
        </w:rPr>
        <w:t>Il suddetto Responsabile inoltre svolge i seguenti compiti: </w:t>
      </w:r>
    </w:p>
    <w:p w14:paraId="4CBA0220" w14:textId="77777777" w:rsidR="00FD2DBC" w:rsidRDefault="00FD2DBC" w:rsidP="00FD2DBC">
      <w:pPr>
        <w:pStyle w:val="NormaleWeb"/>
        <w:spacing w:before="60" w:beforeAutospacing="0" w:after="60"/>
        <w:ind w:left="600"/>
        <w:jc w:val="both"/>
      </w:pPr>
      <w:r>
        <w:rPr>
          <w:rFonts w:ascii="Verdana" w:hAnsi="Verdana"/>
          <w:sz w:val="15"/>
          <w:szCs w:val="15"/>
        </w:rPr>
        <w:t>- elabora la proposta di Piano triennale di prevenzione della corruzione ed i successivi aggiornamenti da sottoporre per l’adozione all'organo di indirizzo politico sopra indicato;</w:t>
      </w:r>
    </w:p>
    <w:p w14:paraId="16F0769F" w14:textId="77777777" w:rsidR="00FD2DBC" w:rsidRDefault="00FD2DBC" w:rsidP="00FD2DBC">
      <w:pPr>
        <w:pStyle w:val="NormaleWeb"/>
        <w:spacing w:before="60" w:beforeAutospacing="0" w:after="60"/>
        <w:ind w:left="600"/>
        <w:jc w:val="both"/>
      </w:pPr>
      <w:r>
        <w:rPr>
          <w:rFonts w:ascii="Verdana" w:hAnsi="Verdana"/>
          <w:sz w:val="15"/>
          <w:szCs w:val="15"/>
        </w:rPr>
        <w:t>- verifica l'efficace attuazione del Piano e la sua idoneità e ne propone la modifica qualora siano accertate significative violazioni delle prescrizioni o intervengano mutamenti rilevanti nell'organizzazione o  nell'attività dell'amministrazione; </w:t>
      </w:r>
    </w:p>
    <w:p w14:paraId="220361F1" w14:textId="77777777" w:rsidR="00FD2DBC" w:rsidRDefault="00FD2DBC" w:rsidP="00FD2DBC">
      <w:pPr>
        <w:pStyle w:val="NormaleWeb"/>
        <w:spacing w:before="60" w:beforeAutospacing="0" w:after="60"/>
        <w:ind w:left="600"/>
        <w:jc w:val="both"/>
      </w:pPr>
      <w:r>
        <w:rPr>
          <w:rFonts w:ascii="Verdana" w:hAnsi="Verdana"/>
          <w:sz w:val="15"/>
          <w:szCs w:val="15"/>
        </w:rPr>
        <w:t>- verifica, d'intesa con i Dirigenti competenti, l’effettiva rotazione degli incarichi negli uffici preposti allo svolgimento delle attività più esposte a rischi corruttivi, secondo i criteri definiti nel presente Piano; </w:t>
      </w:r>
    </w:p>
    <w:p w14:paraId="76D12C85" w14:textId="77777777" w:rsidR="00FD2DBC" w:rsidRDefault="00FD2DBC" w:rsidP="00FD2DBC">
      <w:pPr>
        <w:pStyle w:val="NormaleWeb"/>
        <w:spacing w:before="60" w:beforeAutospacing="0" w:after="60"/>
        <w:ind w:left="600"/>
        <w:jc w:val="both"/>
      </w:pPr>
      <w:r>
        <w:rPr>
          <w:rFonts w:ascii="Verdana" w:hAnsi="Verdana"/>
          <w:sz w:val="15"/>
          <w:szCs w:val="15"/>
        </w:rPr>
        <w:t>- definisce procedure appropriate per selezionare e formare i dipendenti destinati ad operare in settori particolarmente esposti alla corruzione, secondo i criteri definiti nel presente Piano; </w:t>
      </w:r>
    </w:p>
    <w:p w14:paraId="51A5DF94" w14:textId="77777777" w:rsidR="00FD2DBC" w:rsidRDefault="00FD2DBC" w:rsidP="00FD2DBC">
      <w:pPr>
        <w:pStyle w:val="NormaleWeb"/>
        <w:spacing w:before="60" w:beforeAutospacing="0" w:after="60"/>
        <w:ind w:left="600"/>
        <w:jc w:val="both"/>
      </w:pPr>
      <w:r>
        <w:rPr>
          <w:rFonts w:ascii="Verdana" w:hAnsi="Verdana"/>
          <w:sz w:val="15"/>
          <w:szCs w:val="15"/>
        </w:rPr>
        <w:t>- vigila, ai sensi dell’articolo 15 del decreto legislativo n. 39 del 2013, sul rispetto delle norme in materia di inconferibilità e incompatibilità di incarichi, di cui al citato decreto; </w:t>
      </w:r>
    </w:p>
    <w:p w14:paraId="637F14F1" w14:textId="77777777" w:rsidR="00FD2DBC" w:rsidRDefault="00FD2DBC" w:rsidP="00FD2DBC">
      <w:pPr>
        <w:pStyle w:val="NormaleWeb"/>
        <w:spacing w:before="60" w:beforeAutospacing="0" w:after="60"/>
        <w:ind w:left="600"/>
        <w:jc w:val="both"/>
      </w:pPr>
      <w:r>
        <w:rPr>
          <w:rFonts w:ascii="Verdana" w:hAnsi="Verdana"/>
          <w:sz w:val="15"/>
          <w:szCs w:val="15"/>
        </w:rPr>
        <w:t>- elabora entro il 15 dicembre la relazione annuale sull’attività anticorruzione svolta; </w:t>
      </w:r>
    </w:p>
    <w:p w14:paraId="1D535C23" w14:textId="77777777" w:rsidR="00FD2DBC" w:rsidRDefault="00FD2DBC" w:rsidP="00FD2DBC">
      <w:pPr>
        <w:pStyle w:val="NormaleWeb"/>
        <w:spacing w:before="60" w:beforeAutospacing="0" w:after="60"/>
        <w:ind w:left="600"/>
        <w:jc w:val="both"/>
      </w:pPr>
      <w:r>
        <w:rPr>
          <w:rFonts w:ascii="Verdana" w:hAnsi="Verdana"/>
          <w:sz w:val="15"/>
          <w:szCs w:val="15"/>
        </w:rPr>
        <w:t>- si raccorda con il Responsabile della trasparenza ai fini del coordinamento tra il presente Piano e il Programma Triennale per la Trasparenza e l’Integrità (P.T.T.I.); </w:t>
      </w:r>
    </w:p>
    <w:p w14:paraId="2202647D" w14:textId="77777777" w:rsidR="00FD2DBC" w:rsidRDefault="00FD2DBC" w:rsidP="00FD2DBC">
      <w:pPr>
        <w:pStyle w:val="NormaleWeb"/>
        <w:spacing w:before="60" w:beforeAutospacing="0" w:after="60"/>
        <w:ind w:left="600"/>
        <w:jc w:val="both"/>
      </w:pPr>
      <w:r>
        <w:rPr>
          <w:rFonts w:ascii="Verdana" w:hAnsi="Verdana"/>
          <w:sz w:val="15"/>
          <w:szCs w:val="15"/>
        </w:rPr>
        <w:t>- sovrintende alla diffusione della conoscenza dei codici di comportamento nell'amministrazione, il monitoraggio annuale sulla loro attuazione, ai sensi dell'articolo 54, comma 7, del decreto legislativo n. 165 del 2001, la pubblicazione sul sito istituzionale e la comunicazione all'Autorità nazionale anticorruzione, di cui all'articolo 1, comma 2, della legge n. 190 del 2012 dei risultati del monitoraggio (articolo 15 d.P.R. 62/2013);</w:t>
      </w:r>
    </w:p>
    <w:p w14:paraId="50D5C49C" w14:textId="77777777" w:rsidR="00FD2DBC" w:rsidRDefault="00FD2DBC" w:rsidP="00FD2DBC">
      <w:pPr>
        <w:pStyle w:val="NormaleWeb"/>
        <w:spacing w:before="60" w:beforeAutospacing="0" w:after="60"/>
        <w:jc w:val="both"/>
      </w:pPr>
      <w:r>
        <w:rPr>
          <w:rFonts w:ascii="Verdana" w:hAnsi="Verdana"/>
          <w:sz w:val="15"/>
          <w:szCs w:val="15"/>
        </w:rPr>
        <w:t>– i Dirigenti, partecipando al processo di gestione del rischio nell’ambito dei Settori di rispettiva competenza, ai sensi dell’articolo 16 del d.lgs. n. 165 del 2001: </w:t>
      </w:r>
    </w:p>
    <w:p w14:paraId="33E46D2A" w14:textId="77777777" w:rsidR="00FD2DBC" w:rsidRDefault="00FD2DBC" w:rsidP="00FD2DBC">
      <w:pPr>
        <w:pStyle w:val="NormaleWeb"/>
        <w:spacing w:before="60" w:beforeAutospacing="0" w:after="60"/>
        <w:ind w:left="600"/>
        <w:jc w:val="both"/>
      </w:pPr>
      <w:r>
        <w:rPr>
          <w:rFonts w:ascii="Verdana" w:hAnsi="Verdana"/>
          <w:sz w:val="15"/>
          <w:szCs w:val="15"/>
        </w:rPr>
        <w:t>- concorrono alla definizione di misure idonee a prevenire e contrastare i fenomeni di corruzione e a controllarne il rispetto da parte dei dipendenti dell'ufficio cui sono preposti; </w:t>
      </w:r>
    </w:p>
    <w:p w14:paraId="5D3CAB97" w14:textId="77777777" w:rsidR="00FD2DBC" w:rsidRDefault="00FD2DBC" w:rsidP="00FD2DBC">
      <w:pPr>
        <w:pStyle w:val="NormaleWeb"/>
        <w:spacing w:before="60" w:beforeAutospacing="0" w:after="60"/>
        <w:ind w:left="600"/>
        <w:jc w:val="both"/>
      </w:pPr>
      <w:r>
        <w:rPr>
          <w:rFonts w:ascii="Verdana" w:hAnsi="Verdana"/>
          <w:sz w:val="15"/>
          <w:szCs w:val="15"/>
        </w:rPr>
        <w:t>- forniscono le informazioni richieste dal soggetto competente per l'individuazione delle attività nell'ambito delle quali è più elevato il rischio corruzione e formulano specifiche proposte volte alla prevenzione del rischio medesimo; </w:t>
      </w:r>
    </w:p>
    <w:p w14:paraId="7B8F96B2" w14:textId="77777777" w:rsidR="00FD2DBC" w:rsidRDefault="00FD2DBC" w:rsidP="00FD2DBC">
      <w:pPr>
        <w:pStyle w:val="NormaleWeb"/>
        <w:spacing w:before="60" w:beforeAutospacing="0" w:after="60"/>
        <w:ind w:left="600"/>
        <w:jc w:val="both"/>
      </w:pPr>
      <w:r>
        <w:rPr>
          <w:rFonts w:ascii="Verdana" w:hAnsi="Verdana"/>
          <w:sz w:val="15"/>
          <w:szCs w:val="15"/>
        </w:rPr>
        <w:t>-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 </w:t>
      </w:r>
    </w:p>
    <w:p w14:paraId="4E951882" w14:textId="77777777" w:rsidR="00FD2DBC" w:rsidRDefault="00FD2DBC" w:rsidP="00FD2DBC">
      <w:pPr>
        <w:pStyle w:val="NormaleWeb"/>
        <w:spacing w:before="60" w:beforeAutospacing="0" w:after="60"/>
        <w:jc w:val="both"/>
      </w:pPr>
      <w:r>
        <w:rPr>
          <w:rFonts w:ascii="Verdana" w:hAnsi="Verdana"/>
          <w:sz w:val="15"/>
          <w:szCs w:val="15"/>
        </w:rPr>
        <w:t>I Dirigenti inoltre vigilano sull’applicazione dei codici di comportamento e ne verificano le ipotesi di violazione, ai fini dei conseguenti procedimenti disciplinari. </w:t>
      </w:r>
    </w:p>
    <w:p w14:paraId="48DA1828" w14:textId="7AE71176" w:rsidR="00FD2DBC" w:rsidRDefault="00FD2DBC" w:rsidP="00FD2DBC">
      <w:pPr>
        <w:pStyle w:val="NormaleWeb"/>
        <w:spacing w:before="60" w:beforeAutospacing="0" w:after="60"/>
        <w:jc w:val="both"/>
      </w:pPr>
      <w:r>
        <w:rPr>
          <w:rFonts w:ascii="Verdana" w:hAnsi="Verdana"/>
          <w:sz w:val="15"/>
          <w:szCs w:val="15"/>
        </w:rPr>
        <w:lastRenderedPageBreak/>
        <w:t xml:space="preserve">- Il Responsabile della trasparenza, individuato con </w:t>
      </w:r>
      <w:r w:rsidR="000F1FFE">
        <w:rPr>
          <w:rFonts w:ascii="Verdana" w:hAnsi="Verdana"/>
          <w:sz w:val="15"/>
          <w:szCs w:val="15"/>
        </w:rPr>
        <w:t xml:space="preserve">decreto di nomina n.18/2019 del 09/12/2019. </w:t>
      </w:r>
      <w:r>
        <w:rPr>
          <w:rFonts w:ascii="Verdana" w:hAnsi="Verdana"/>
          <w:sz w:val="15"/>
          <w:szCs w:val="15"/>
        </w:rPr>
        <w:t>Le indicazioni dell’ANAC hanno previsto l’unificazione dei ruoli di Responsabile della Trasparenza e Responsabile per la Prevenzione della Corruzione dando vita al Responsabile per la Prevenzione della Corruzione e della Trasparenza (R.P.C.T.). Solo in situazione eccezionali, caratterizzate da specifiche esigenze organizzative, è possibile affidare i due ruoli a soggetti distinti. I compiti attribuiti a tale figura, sia nel caso in cui sia presente un unico ruolo attribuito ad un unico soggetto, sia nei casi in cui l’organizzazione abbia scelto di suddividere i ruoli attribuendoli a due soggetti distinti, sono i seguenti:</w:t>
      </w:r>
    </w:p>
    <w:p w14:paraId="71DD83B4" w14:textId="77777777" w:rsidR="00FD2DBC" w:rsidRDefault="00FD2DBC" w:rsidP="00FD2DBC">
      <w:pPr>
        <w:pStyle w:val="NormaleWeb"/>
        <w:spacing w:before="60" w:beforeAutospacing="0" w:after="60"/>
        <w:ind w:left="600"/>
        <w:jc w:val="both"/>
      </w:pPr>
      <w:r>
        <w:rPr>
          <w:rFonts w:ascii="Verdana" w:hAnsi="Verdana"/>
          <w:sz w:val="15"/>
          <w:szCs w:val="15"/>
        </w:rPr>
        <w:t>- svolgere le funzioni indicate dall’articolo 43 del decreto legislativo n. 33 del 2013; </w:t>
      </w:r>
    </w:p>
    <w:p w14:paraId="5A12940A" w14:textId="77777777" w:rsidR="00FD2DBC" w:rsidRDefault="00FD2DBC" w:rsidP="00FD2DBC">
      <w:pPr>
        <w:pStyle w:val="NormaleWeb"/>
        <w:spacing w:before="60" w:beforeAutospacing="0" w:after="60"/>
        <w:ind w:left="600"/>
        <w:jc w:val="both"/>
      </w:pPr>
      <w:r>
        <w:rPr>
          <w:rFonts w:ascii="Verdana" w:hAnsi="Verdana"/>
          <w:sz w:val="15"/>
          <w:szCs w:val="15"/>
        </w:rPr>
        <w:t>- realizzare i contenuti in passato afferenti al Programma Triennale per la Trasparenza e l’Integrità (P.T.T.I.) oggi confluiti all’interno del Piano Triennale di Prevenzione della Corruzione e della Trasparenza (P.T.P.C.T.).</w:t>
      </w:r>
    </w:p>
    <w:p w14:paraId="15C62305" w14:textId="77777777" w:rsidR="00FD2DBC" w:rsidRDefault="00FD2DBC" w:rsidP="00FD2DBC">
      <w:pPr>
        <w:pStyle w:val="NormaleWeb"/>
        <w:spacing w:before="60" w:beforeAutospacing="0" w:after="60"/>
        <w:jc w:val="both"/>
      </w:pPr>
      <w:r>
        <w:rPr>
          <w:rFonts w:ascii="Verdana" w:hAnsi="Verdana"/>
          <w:sz w:val="15"/>
          <w:szCs w:val="15"/>
        </w:rPr>
        <w:t>– il Nucleo di Valutazione e gli altri organismi di controllo interno:</w:t>
      </w:r>
    </w:p>
    <w:p w14:paraId="6D3A330E" w14:textId="77777777" w:rsidR="00FD2DBC" w:rsidRDefault="00FD2DBC" w:rsidP="00FD2DBC">
      <w:pPr>
        <w:pStyle w:val="NormaleWeb"/>
        <w:spacing w:before="60" w:beforeAutospacing="0" w:after="60"/>
        <w:ind w:left="600"/>
        <w:jc w:val="both"/>
      </w:pPr>
      <w:r>
        <w:rPr>
          <w:rFonts w:ascii="Verdana" w:hAnsi="Verdana"/>
          <w:sz w:val="15"/>
          <w:szCs w:val="15"/>
        </w:rPr>
        <w:t>- partecipano al processo di gestione del rischio; </w:t>
      </w:r>
    </w:p>
    <w:p w14:paraId="6CC5A1C9" w14:textId="77777777" w:rsidR="00FD2DBC" w:rsidRDefault="00FD2DBC" w:rsidP="00FD2DBC">
      <w:pPr>
        <w:pStyle w:val="NormaleWeb"/>
        <w:spacing w:before="60" w:beforeAutospacing="0" w:after="60"/>
        <w:ind w:left="600"/>
        <w:jc w:val="both"/>
      </w:pPr>
      <w:r>
        <w:rPr>
          <w:rFonts w:ascii="Verdana" w:hAnsi="Verdana"/>
          <w:sz w:val="15"/>
          <w:szCs w:val="15"/>
        </w:rPr>
        <w:t>- nello svolgimento dei compiti ad essi attribuiti, tengono conto dei rischi e delle azioni inerenti alla    prevenzione della corruzione; </w:t>
      </w:r>
    </w:p>
    <w:p w14:paraId="74DC860A" w14:textId="77777777" w:rsidR="00FD2DBC" w:rsidRDefault="00FD2DBC" w:rsidP="00FD2DBC">
      <w:pPr>
        <w:pStyle w:val="NormaleWeb"/>
        <w:spacing w:before="60" w:beforeAutospacing="0" w:after="60"/>
        <w:ind w:left="600"/>
        <w:jc w:val="both"/>
      </w:pPr>
      <w:r>
        <w:rPr>
          <w:rFonts w:ascii="Verdana" w:hAnsi="Verdana"/>
          <w:sz w:val="15"/>
          <w:szCs w:val="15"/>
        </w:rPr>
        <w:t>- svolgono compiti propri connessi all’attività anticorruzione nel settore della trasparenza amministrativa (articoli 43 e 44 d.lgs. 33/2013);</w:t>
      </w:r>
    </w:p>
    <w:p w14:paraId="4B0F2EBC" w14:textId="77777777" w:rsidR="00FD2DBC" w:rsidRDefault="00FD2DBC" w:rsidP="00FD2DBC">
      <w:pPr>
        <w:pStyle w:val="NormaleWeb"/>
        <w:spacing w:before="60" w:beforeAutospacing="0" w:after="60"/>
        <w:ind w:left="600"/>
        <w:jc w:val="both"/>
      </w:pPr>
      <w:r>
        <w:rPr>
          <w:rFonts w:ascii="Verdana" w:hAnsi="Verdana"/>
          <w:sz w:val="15"/>
          <w:szCs w:val="15"/>
        </w:rPr>
        <w:t>- esprimono parere obbligatorio sul Codice di comportamento e sue modificazioni (articolo 54, comma 5, d.lgs. 165/2001); </w:t>
      </w:r>
    </w:p>
    <w:p w14:paraId="2080BAF0" w14:textId="77777777" w:rsidR="00FD2DBC" w:rsidRDefault="00FD2DBC" w:rsidP="00FD2DBC">
      <w:pPr>
        <w:pStyle w:val="NormaleWeb"/>
        <w:spacing w:before="60" w:beforeAutospacing="0" w:after="60"/>
        <w:jc w:val="both"/>
      </w:pPr>
      <w:r>
        <w:rPr>
          <w:rFonts w:ascii="Verdana" w:hAnsi="Verdana"/>
          <w:sz w:val="15"/>
          <w:szCs w:val="15"/>
        </w:rPr>
        <w:t>– l’Ufficio Procedimenti Disciplinari (U.P.D.):</w:t>
      </w:r>
    </w:p>
    <w:p w14:paraId="05905E76" w14:textId="77777777" w:rsidR="00FD2DBC" w:rsidRDefault="00FD2DBC" w:rsidP="00FD2DBC">
      <w:pPr>
        <w:pStyle w:val="NormaleWeb"/>
        <w:spacing w:before="60" w:beforeAutospacing="0" w:after="60"/>
        <w:ind w:left="600"/>
        <w:jc w:val="both"/>
      </w:pPr>
      <w:r>
        <w:rPr>
          <w:rFonts w:ascii="Verdana" w:hAnsi="Verdana"/>
          <w:sz w:val="15"/>
          <w:szCs w:val="15"/>
        </w:rPr>
        <w:t>- svolge i procedimenti disciplinari nell’ambito della propria competenza (articolo 55 bis d.lgs. n. 165 del 2001); </w:t>
      </w:r>
    </w:p>
    <w:p w14:paraId="0E847D1B" w14:textId="77777777" w:rsidR="00FD2DBC" w:rsidRDefault="00FD2DBC" w:rsidP="00FD2DBC">
      <w:pPr>
        <w:pStyle w:val="NormaleWeb"/>
        <w:spacing w:before="60" w:beforeAutospacing="0" w:after="60"/>
        <w:ind w:left="600"/>
        <w:jc w:val="both"/>
      </w:pPr>
      <w:r>
        <w:rPr>
          <w:rFonts w:ascii="Verdana" w:hAnsi="Verdana"/>
          <w:sz w:val="15"/>
          <w:szCs w:val="15"/>
        </w:rPr>
        <w:t>- provvede alle comunicazioni obbligatorie nei confronti dell’autorità giudiziaria (art. 20 d.P.R. n. 3 del 1957; art.1, comma 3, l. n. 20 del 1994; art. 331 c.p.p.);</w:t>
      </w:r>
    </w:p>
    <w:p w14:paraId="0BC03D0B" w14:textId="77777777" w:rsidR="00FD2DBC" w:rsidRDefault="00FD2DBC" w:rsidP="00FD2DBC">
      <w:pPr>
        <w:pStyle w:val="NormaleWeb"/>
        <w:spacing w:before="60" w:beforeAutospacing="0" w:after="60"/>
        <w:ind w:left="600"/>
        <w:jc w:val="both"/>
      </w:pPr>
      <w:r>
        <w:rPr>
          <w:rFonts w:ascii="Verdana" w:hAnsi="Verdana"/>
          <w:sz w:val="15"/>
          <w:szCs w:val="15"/>
        </w:rPr>
        <w:t>- opera in raccordo con il Responsabile per la prevenzione della corruzione per quanto riguarda le attività previste dall’articolo 15 del D.P.R. 62/2013 “Codice di comportamento dei dipendenti pubblici”; </w:t>
      </w:r>
    </w:p>
    <w:p w14:paraId="68F2865E" w14:textId="77777777" w:rsidR="00FD2DBC" w:rsidRDefault="00FD2DBC" w:rsidP="00FD2DBC">
      <w:pPr>
        <w:pStyle w:val="NormaleWeb"/>
        <w:spacing w:before="60" w:beforeAutospacing="0" w:after="60"/>
        <w:jc w:val="both"/>
      </w:pPr>
      <w:r>
        <w:rPr>
          <w:rFonts w:ascii="Verdana" w:hAnsi="Verdana"/>
          <w:sz w:val="15"/>
          <w:szCs w:val="15"/>
        </w:rPr>
        <w:t>– i dipendenti dell’amministrazione: </w:t>
      </w:r>
    </w:p>
    <w:p w14:paraId="3B19A6E8" w14:textId="77777777" w:rsidR="00FD2DBC" w:rsidRDefault="00FD2DBC" w:rsidP="00FD2DBC">
      <w:pPr>
        <w:pStyle w:val="NormaleWeb"/>
        <w:spacing w:before="60" w:beforeAutospacing="0" w:after="60"/>
        <w:ind w:left="600"/>
        <w:jc w:val="both"/>
      </w:pPr>
      <w:r>
        <w:rPr>
          <w:rFonts w:ascii="Verdana" w:hAnsi="Verdana"/>
          <w:sz w:val="15"/>
          <w:szCs w:val="15"/>
        </w:rPr>
        <w:t>- osservano le misure contenute nel P.T.P.C.T.; </w:t>
      </w:r>
    </w:p>
    <w:p w14:paraId="6224D531" w14:textId="77777777" w:rsidR="00FD2DBC" w:rsidRDefault="00FD2DBC" w:rsidP="00FD2DBC">
      <w:pPr>
        <w:pStyle w:val="NormaleWeb"/>
        <w:spacing w:before="60" w:beforeAutospacing="0" w:after="60"/>
        <w:ind w:left="600"/>
        <w:jc w:val="both"/>
      </w:pPr>
      <w:r>
        <w:rPr>
          <w:rFonts w:ascii="Verdana" w:hAnsi="Verdana"/>
          <w:sz w:val="15"/>
          <w:szCs w:val="15"/>
        </w:rPr>
        <w:t>- segnalano le situazioni di illecito ai propri dirigenti o all’UPD ed i casi di personale conflitto di interessi;</w:t>
      </w:r>
    </w:p>
    <w:p w14:paraId="3A139A82" w14:textId="77777777" w:rsidR="00FD2DBC" w:rsidRDefault="00FD2DBC" w:rsidP="00FD2DBC">
      <w:pPr>
        <w:pStyle w:val="NormaleWeb"/>
        <w:spacing w:before="60" w:beforeAutospacing="0" w:after="60"/>
        <w:jc w:val="both"/>
      </w:pPr>
      <w:r>
        <w:rPr>
          <w:rFonts w:ascii="Verdana" w:hAnsi="Verdana"/>
          <w:sz w:val="15"/>
          <w:szCs w:val="15"/>
        </w:rPr>
        <w:t>– i collaboratori a qualsiasi titolo dell’amministrazione: </w:t>
      </w:r>
    </w:p>
    <w:p w14:paraId="1D1B41AC" w14:textId="77777777" w:rsidR="00FD2DBC" w:rsidRDefault="00FD2DBC" w:rsidP="00FD2DBC">
      <w:pPr>
        <w:pStyle w:val="NormaleWeb"/>
        <w:spacing w:before="60" w:beforeAutospacing="0" w:after="60"/>
        <w:ind w:left="600"/>
        <w:jc w:val="both"/>
      </w:pPr>
      <w:r>
        <w:rPr>
          <w:rFonts w:ascii="Verdana" w:hAnsi="Verdana"/>
          <w:sz w:val="15"/>
          <w:szCs w:val="15"/>
        </w:rPr>
        <w:t>- osservano, per quanto compatibili, le misure contenute nel P.T.P.C.T. e gli obblighi di condotta previsti dai Codici d comportamento e segnalano le situazioni di illecito.</w:t>
      </w:r>
    </w:p>
    <w:p w14:paraId="39B33229" w14:textId="77777777" w:rsidR="00FD2DBC" w:rsidRDefault="00FD2DBC" w:rsidP="00FD2DBC">
      <w:pPr>
        <w:pStyle w:val="NormaleWeb"/>
        <w:spacing w:before="60" w:beforeAutospacing="0" w:after="60"/>
        <w:ind w:left="600"/>
        <w:jc w:val="both"/>
      </w:pPr>
      <w:r>
        <w:rPr>
          <w:rFonts w:ascii="Verdana" w:hAnsi="Verdana"/>
          <w:sz w:val="15"/>
          <w:szCs w:val="15"/>
        </w:rPr>
        <w:t> </w:t>
      </w:r>
    </w:p>
    <w:p w14:paraId="2A981E18" w14:textId="77777777" w:rsidR="00FD2DBC" w:rsidRDefault="00FD2DBC" w:rsidP="00FD2DBC">
      <w:pPr>
        <w:pStyle w:val="NormaleWeb"/>
        <w:spacing w:before="60" w:beforeAutospacing="0" w:after="60"/>
        <w:jc w:val="both"/>
      </w:pPr>
      <w:r>
        <w:rPr>
          <w:rFonts w:ascii="Verdana" w:hAnsi="Verdana"/>
          <w:sz w:val="15"/>
          <w:szCs w:val="15"/>
          <w:u w:val="single"/>
        </w:rPr>
        <w:t>Responsabili del procedimento - RUP - dipendenti/collaboratori</w:t>
      </w:r>
    </w:p>
    <w:p w14:paraId="28C75856" w14:textId="77777777" w:rsidR="00FD2DBC" w:rsidRDefault="00FD2DBC" w:rsidP="00FD2DBC">
      <w:pPr>
        <w:pStyle w:val="NormaleWeb"/>
        <w:spacing w:before="60" w:beforeAutospacing="0" w:after="60"/>
        <w:jc w:val="both"/>
      </w:pPr>
      <w:r>
        <w:rPr>
          <w:rFonts w:ascii="Verdana" w:hAnsi="Verdana"/>
          <w:sz w:val="15"/>
          <w:szCs w:val="15"/>
        </w:rPr>
        <w:t>Ai sensi degli articolo 5 e 6 della L. 241/1990 e ss.mm ed in conformità al vigente regolamento sull'ordinamento degli uffici e dei servizi i Responsabili di Area possono nominare i responsabili procedimentali per nuclei omogenei di servizi sulla base di criteri di competenza e professionalità assegnando agli stessi i vari procedimenti amministrativi.</w:t>
      </w:r>
    </w:p>
    <w:p w14:paraId="02949803" w14:textId="77777777" w:rsidR="00FD2DBC" w:rsidRDefault="00FD2DBC" w:rsidP="00FD2DBC">
      <w:pPr>
        <w:pStyle w:val="NormaleWeb"/>
        <w:spacing w:before="60" w:beforeAutospacing="0" w:after="60"/>
        <w:jc w:val="both"/>
      </w:pPr>
      <w:r>
        <w:rPr>
          <w:rFonts w:ascii="Verdana" w:hAnsi="Verdana"/>
          <w:sz w:val="15"/>
          <w:szCs w:val="15"/>
        </w:rPr>
        <w:t>Specificamente per quanto concerne le procedure di affidamento degli appalti/concessioni il D.Lgs 50/2016 ha disposto che il Responsabile di Area nomini un responsabile unico del procedimento (RUP) possibilmente tra i dipendenti dell'area sulla base di criteri di competenza e professionalità per le fasi della programmazione, della progettazione, dell'affidamento, dell'esecuzione, definendone i compiti.</w:t>
      </w:r>
    </w:p>
    <w:p w14:paraId="19986A7B" w14:textId="77777777" w:rsidR="00FD2DBC" w:rsidRDefault="00FD2DBC" w:rsidP="00FD2DBC">
      <w:pPr>
        <w:pStyle w:val="NormaleWeb"/>
        <w:spacing w:before="60" w:beforeAutospacing="0" w:after="60"/>
        <w:jc w:val="both"/>
      </w:pPr>
      <w:r>
        <w:rPr>
          <w:rFonts w:ascii="Verdana" w:hAnsi="Verdana"/>
          <w:sz w:val="15"/>
          <w:szCs w:val="15"/>
        </w:rPr>
        <w:t>Tali responsabili, unitamente agli altri dipendenti e collaboratori partecipano al processo di gestione del rischio, osservando le misure contenute nel P.T.P.C. (art. 1, comma 14 della L. 190/2012), segnalando le situazioni di illecito al proprio Responsabile di Area o all'U.P.D. (art, 54 bis del D.Lgs 165/2001) e segnalando casi di personale in conflitto di interessi (art. 6 bis Legge 241/1990).</w:t>
      </w:r>
    </w:p>
    <w:p w14:paraId="0739BDCA" w14:textId="77777777" w:rsidR="00FD2DBC" w:rsidRDefault="00FD2DBC" w:rsidP="00FD2DBC">
      <w:pPr>
        <w:pStyle w:val="NormaleWeb"/>
        <w:spacing w:before="60" w:beforeAutospacing="0" w:after="60"/>
        <w:jc w:val="both"/>
      </w:pPr>
      <w:r>
        <w:t> </w:t>
      </w:r>
    </w:p>
    <w:p w14:paraId="4D32B557" w14:textId="77777777" w:rsidR="00FD2DBC" w:rsidRDefault="00FD2DBC" w:rsidP="00FD2DBC">
      <w:pPr>
        <w:pStyle w:val="NormaleWeb"/>
        <w:spacing w:before="60" w:beforeAutospacing="0" w:after="60"/>
        <w:jc w:val="both"/>
      </w:pPr>
      <w:r>
        <w:rPr>
          <w:rFonts w:ascii="Verdana" w:hAnsi="Verdana"/>
          <w:sz w:val="15"/>
          <w:szCs w:val="15"/>
          <w:u w:val="single"/>
        </w:rPr>
        <w:t>R.A.S.A</w:t>
      </w:r>
    </w:p>
    <w:p w14:paraId="2D63A4F8" w14:textId="77777777" w:rsidR="00FD2DBC" w:rsidRDefault="00FD2DBC" w:rsidP="00FD2DBC">
      <w:pPr>
        <w:pStyle w:val="NormaleWeb"/>
        <w:spacing w:before="60" w:beforeAutospacing="0" w:after="60"/>
        <w:jc w:val="both"/>
      </w:pPr>
      <w:r>
        <w:rPr>
          <w:rFonts w:ascii="Verdana" w:hAnsi="Verdana"/>
          <w:sz w:val="15"/>
          <w:szCs w:val="15"/>
        </w:rPr>
        <w:t>Il RASA (Responsabile Anagrafe Stazione Appaltante) è tenuto ad assicurare l'effettivo inserimento dei dati nell'anagrafe unica delle stazioni appaltanti (AUSA) e la sua individuazione è indicata nel PNA 2016 quale misura orgaizzativa di trasparenza in funzione di prevenzione della corruzione.</w:t>
      </w:r>
    </w:p>
    <w:p w14:paraId="62BC9A2E" w14:textId="77777777" w:rsidR="00FD2DBC" w:rsidRDefault="00FD2DBC" w:rsidP="00FD2DBC">
      <w:pPr>
        <w:pStyle w:val="NormaleWeb"/>
        <w:spacing w:before="60" w:beforeAutospacing="0" w:after="60"/>
        <w:jc w:val="both"/>
      </w:pPr>
      <w:r>
        <w:rPr>
          <w:rFonts w:ascii="Verdana" w:hAnsi="Verdana"/>
          <w:sz w:val="15"/>
          <w:szCs w:val="15"/>
        </w:rPr>
        <w:t>Si evidenzia, al riguardo, che tale obbligo informativo - consistente nell’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(disciplina transitoria di cui all’art. 216, co. 10, del D.Lgs. 50/2016).</w:t>
      </w:r>
    </w:p>
    <w:p w14:paraId="7873B99D" w14:textId="77777777" w:rsidR="00FD2DBC" w:rsidRDefault="00FD2DBC" w:rsidP="00FD2DBC">
      <w:pPr>
        <w:pStyle w:val="NormaleWeb"/>
        <w:spacing w:before="60" w:beforeAutospacing="0" w:after="60"/>
        <w:jc w:val="both"/>
      </w:pPr>
      <w:r>
        <w:rPr>
          <w:rFonts w:ascii="Verdana" w:hAnsi="Verdana"/>
          <w:sz w:val="15"/>
          <w:szCs w:val="15"/>
        </w:rPr>
        <w:t>L'individuazione del RASA è intesa come misura organizzativa di trasparenza in funzione di prevenzione della corruzione.</w:t>
      </w:r>
    </w:p>
    <w:p w14:paraId="0AA4B340" w14:textId="77777777" w:rsidR="00FD2DBC" w:rsidRDefault="00FD2DBC" w:rsidP="00FD2DBC">
      <w:pPr>
        <w:pStyle w:val="NormaleWeb"/>
        <w:spacing w:before="60" w:beforeAutospacing="0" w:after="60"/>
        <w:jc w:val="both"/>
      </w:pPr>
      <w:r>
        <w:t> </w:t>
      </w:r>
    </w:p>
    <w:p w14:paraId="6B7D516C" w14:textId="77777777" w:rsidR="00FD2DBC" w:rsidRDefault="00FD2DBC" w:rsidP="00FD2DBC">
      <w:pPr>
        <w:pStyle w:val="NormaleWeb"/>
        <w:spacing w:before="60" w:beforeAutospacing="0" w:after="60"/>
        <w:jc w:val="both"/>
      </w:pPr>
      <w:r>
        <w:rPr>
          <w:rFonts w:ascii="Verdana" w:hAnsi="Verdana"/>
          <w:sz w:val="15"/>
          <w:szCs w:val="15"/>
          <w:u w:val="single"/>
        </w:rPr>
        <w:t>Fasi di realizzazione, approvazione e monitoraggio del P.T.P.C.T.</w:t>
      </w:r>
    </w:p>
    <w:p w14:paraId="41A99EC2" w14:textId="7281CA8B" w:rsidR="00FD2DBC" w:rsidRDefault="000F1FFE" w:rsidP="00FD2DBC">
      <w:pPr>
        <w:pStyle w:val="NormaleWeb"/>
        <w:spacing w:before="60" w:beforeAutospacing="0" w:after="60"/>
        <w:jc w:val="both"/>
      </w:pPr>
      <w:r>
        <w:rPr>
          <w:rFonts w:ascii="Verdana" w:hAnsi="Verdana"/>
          <w:sz w:val="15"/>
          <w:szCs w:val="15"/>
        </w:rPr>
        <w:t xml:space="preserve">Entro il 30 novembre </w:t>
      </w:r>
      <w:r w:rsidR="00FD2DBC">
        <w:rPr>
          <w:rFonts w:ascii="Verdana" w:hAnsi="Verdana"/>
          <w:sz w:val="15"/>
          <w:szCs w:val="15"/>
        </w:rPr>
        <w:t xml:space="preserve">di ogni anno ciascun responsabile di unità organizzativa trasmette al Responsabile per la prevenzione della Corruzione e della Trasparenza proprie proposte (se ritenute necessarie) aventi ad oggetto l'individuazione delle nuove attività rispetto a quelle previste nel presente piano nelle quali è più elevato il rischio di corruzione, indicando altresì le concrete misure organizzative </w:t>
      </w:r>
      <w:r w:rsidR="00FD2DBC">
        <w:rPr>
          <w:rFonts w:ascii="Verdana" w:hAnsi="Verdana"/>
          <w:sz w:val="15"/>
          <w:szCs w:val="15"/>
        </w:rPr>
        <w:lastRenderedPageBreak/>
        <w:t>da adottare dirette a contrastare il rischio elevato. Qualora tali misure comportino degli oneri economici per l'Ente le proposte dovranno indicare la stima delle risorse finanziarie occorrenti.</w:t>
      </w:r>
    </w:p>
    <w:p w14:paraId="233C6281" w14:textId="77777777" w:rsidR="00FD2DBC" w:rsidRDefault="00FD2DBC" w:rsidP="00FD2DBC">
      <w:pPr>
        <w:pStyle w:val="NormaleWeb"/>
        <w:spacing w:before="60" w:beforeAutospacing="0" w:after="60"/>
        <w:jc w:val="both"/>
      </w:pPr>
      <w:r>
        <w:rPr>
          <w:rFonts w:ascii="Verdana" w:hAnsi="Verdana"/>
          <w:sz w:val="15"/>
          <w:szCs w:val="15"/>
        </w:rPr>
        <w:t> </w:t>
      </w:r>
    </w:p>
    <w:p w14:paraId="5E9BA329" w14:textId="15055E88" w:rsidR="00FD2DBC" w:rsidRDefault="00FD2DBC" w:rsidP="00FD2DBC">
      <w:pPr>
        <w:pStyle w:val="NormaleWeb"/>
        <w:spacing w:before="60" w:beforeAutospacing="0" w:after="60"/>
        <w:jc w:val="both"/>
      </w:pPr>
      <w:r>
        <w:rPr>
          <w:rFonts w:ascii="Verdana" w:hAnsi="Verdana"/>
          <w:sz w:val="15"/>
          <w:szCs w:val="15"/>
        </w:rPr>
        <w:t xml:space="preserve">Entro il </w:t>
      </w:r>
      <w:r w:rsidR="000F1FFE">
        <w:rPr>
          <w:rFonts w:ascii="Verdana" w:hAnsi="Verdana"/>
          <w:sz w:val="15"/>
          <w:szCs w:val="15"/>
        </w:rPr>
        <w:t xml:space="preserve">30 novembre </w:t>
      </w:r>
      <w:r>
        <w:rPr>
          <w:rFonts w:ascii="Verdana" w:hAnsi="Verdana"/>
          <w:sz w:val="15"/>
          <w:szCs w:val="15"/>
        </w:rPr>
        <w:t>di ogni anno ciascun Responsabile di Area trasmette al Responsabile per la prevenzione della Corruzione idonea relazione riportante le misure adottate nell'area di competenza per la gestione dei rischi previsti dal P.T.P.C.T..</w:t>
      </w:r>
    </w:p>
    <w:p w14:paraId="13CF53DC" w14:textId="77777777" w:rsidR="00FD2DBC" w:rsidRDefault="00FD2DBC" w:rsidP="00FD2DBC">
      <w:pPr>
        <w:pStyle w:val="NormaleWeb"/>
        <w:spacing w:before="60" w:beforeAutospacing="0" w:after="60"/>
        <w:jc w:val="both"/>
      </w:pPr>
      <w:r>
        <w:t> </w:t>
      </w:r>
    </w:p>
    <w:p w14:paraId="13D0CAFC" w14:textId="77777777" w:rsidR="00FD2DBC" w:rsidRDefault="00FD2DBC" w:rsidP="00FD2DBC">
      <w:pPr>
        <w:pStyle w:val="NormaleWeb"/>
        <w:spacing w:before="60" w:beforeAutospacing="0" w:after="60"/>
        <w:jc w:val="both"/>
      </w:pPr>
      <w:r>
        <w:rPr>
          <w:rFonts w:ascii="Verdana" w:hAnsi="Verdana"/>
          <w:sz w:val="15"/>
          <w:szCs w:val="15"/>
        </w:rPr>
        <w:t>Entro il 20 gennaio di ogni anno il Responsabile per la prevenzione, anche sulla scorta delle indicazioni raccolte ai sensi dei passaggi descritti precedentemente, elabora il piano di prevenzione della corruzione e/o i suoi aggiornamenti e lo trasmette ai consiglieri comunali, al Sindaco ed alla Giunta per opportuna preventiva condivisione.</w:t>
      </w:r>
    </w:p>
    <w:p w14:paraId="4C07D188" w14:textId="77777777" w:rsidR="00FD2DBC" w:rsidRDefault="00FD2DBC" w:rsidP="00FD2DBC">
      <w:pPr>
        <w:pStyle w:val="NormaleWeb"/>
        <w:spacing w:before="60" w:beforeAutospacing="0" w:after="60"/>
        <w:jc w:val="both"/>
      </w:pPr>
      <w:r>
        <w:rPr>
          <w:rFonts w:ascii="Verdana" w:hAnsi="Verdana"/>
          <w:sz w:val="15"/>
          <w:szCs w:val="15"/>
        </w:rPr>
        <w:t> </w:t>
      </w:r>
    </w:p>
    <w:p w14:paraId="62FE19C8" w14:textId="77777777" w:rsidR="00FD2DBC" w:rsidRDefault="00FD2DBC" w:rsidP="00FD2DBC">
      <w:pPr>
        <w:pStyle w:val="NormaleWeb"/>
        <w:spacing w:before="60" w:beforeAutospacing="0" w:after="60"/>
        <w:jc w:val="both"/>
      </w:pPr>
      <w:r>
        <w:rPr>
          <w:rFonts w:ascii="Verdana" w:hAnsi="Verdana"/>
          <w:sz w:val="15"/>
          <w:szCs w:val="15"/>
        </w:rPr>
        <w:t>La Giunta Comunale approva il Piano triennale entro il 31 gennaio di ciascun anno, salvo diverso altro termine fissato dalla legge.</w:t>
      </w:r>
    </w:p>
    <w:p w14:paraId="49300385" w14:textId="77777777" w:rsidR="00FD2DBC" w:rsidRDefault="00FD2DBC" w:rsidP="00FD2DBC">
      <w:pPr>
        <w:pStyle w:val="NormaleWeb"/>
        <w:spacing w:before="60" w:beforeAutospacing="0" w:after="60"/>
        <w:jc w:val="both"/>
      </w:pPr>
      <w:r>
        <w:rPr>
          <w:rFonts w:ascii="Verdana" w:hAnsi="Verdana"/>
          <w:sz w:val="15"/>
          <w:szCs w:val="15"/>
        </w:rPr>
        <w:t> </w:t>
      </w:r>
    </w:p>
    <w:p w14:paraId="5203D471" w14:textId="77777777" w:rsidR="00FD2DBC" w:rsidRDefault="00FD2DBC" w:rsidP="00FD2DBC">
      <w:pPr>
        <w:pStyle w:val="NormaleWeb"/>
        <w:spacing w:before="60" w:beforeAutospacing="0" w:after="60"/>
        <w:jc w:val="both"/>
      </w:pPr>
      <w:r>
        <w:rPr>
          <w:rFonts w:ascii="Verdana" w:hAnsi="Verdana"/>
          <w:sz w:val="15"/>
          <w:szCs w:val="15"/>
        </w:rPr>
        <w:t>Il Piano, una volta approvato, viene pubblicato in forma permanente sul sito internet istituzionale dell'Ente in apposita sottosezione all'interno di quella denominata "Amministrazione Trasparente".</w:t>
      </w:r>
    </w:p>
    <w:p w14:paraId="77F9C5B2" w14:textId="77777777" w:rsidR="00FD2DBC" w:rsidRDefault="00FD2DBC" w:rsidP="00FD2DBC">
      <w:pPr>
        <w:pStyle w:val="NormaleWeb"/>
        <w:spacing w:before="60" w:beforeAutospacing="0" w:after="60"/>
        <w:jc w:val="both"/>
      </w:pPr>
      <w:r>
        <w:rPr>
          <w:rFonts w:ascii="Verdana" w:hAnsi="Verdana"/>
          <w:sz w:val="15"/>
          <w:szCs w:val="15"/>
        </w:rPr>
        <w:t> </w:t>
      </w:r>
    </w:p>
    <w:p w14:paraId="442224EA" w14:textId="77777777" w:rsidR="00FD2DBC" w:rsidRDefault="00FD2DBC" w:rsidP="00FD2DBC">
      <w:pPr>
        <w:pStyle w:val="NormaleWeb"/>
        <w:spacing w:before="60" w:beforeAutospacing="0" w:after="60"/>
        <w:jc w:val="both"/>
      </w:pPr>
      <w:r>
        <w:rPr>
          <w:rFonts w:ascii="Verdana" w:hAnsi="Verdana"/>
          <w:sz w:val="15"/>
          <w:szCs w:val="15"/>
        </w:rPr>
        <w:t>Nella medesima sottosezione del sito viene pubblicata, a cura del Responsabile per la prevenzione della Corruzione, entro il 15 dicembre di ciascun anno o entro la data fissata dall'ANAC la relazione recante i risultati dell'attività svolta.</w:t>
      </w:r>
    </w:p>
    <w:p w14:paraId="6CEF0A89" w14:textId="77777777" w:rsidR="00FD2DBC" w:rsidRDefault="00FD2DBC" w:rsidP="00FD2DBC">
      <w:pPr>
        <w:pStyle w:val="NormaleWeb"/>
        <w:spacing w:before="60" w:beforeAutospacing="0" w:after="60"/>
        <w:jc w:val="both"/>
      </w:pPr>
      <w:r>
        <w:rPr>
          <w:rFonts w:ascii="Verdana" w:hAnsi="Verdana"/>
          <w:sz w:val="15"/>
          <w:szCs w:val="15"/>
        </w:rPr>
        <w:t> </w:t>
      </w:r>
    </w:p>
    <w:p w14:paraId="29740855" w14:textId="77777777" w:rsidR="00FD2DBC" w:rsidRDefault="00FD2DBC" w:rsidP="00FD2DBC">
      <w:pPr>
        <w:pStyle w:val="NormaleWeb"/>
        <w:spacing w:before="60" w:beforeAutospacing="0" w:after="60"/>
        <w:jc w:val="both"/>
      </w:pPr>
      <w:r>
        <w:rPr>
          <w:rFonts w:ascii="Verdana" w:hAnsi="Verdana"/>
          <w:sz w:val="15"/>
          <w:szCs w:val="15"/>
        </w:rPr>
        <w:t>ll Piano può essere modificato anche in corso d'anno, su proposta del Responsabile per la Prevenzione della Corruzione e della Trasaprenza, allorchè siano state accertate significative violazioni delle prescrizioni ovvero quando intervengano rilevanti mutamenti organizzativi o modifiche in ordine all'attività dell'amministrazione.</w:t>
      </w:r>
    </w:p>
    <w:p w14:paraId="63706158" w14:textId="77777777" w:rsidR="00FD2DBC" w:rsidRDefault="00FD2DBC" w:rsidP="00FD2DBC">
      <w:pPr>
        <w:pStyle w:val="NormaleWeb"/>
        <w:spacing w:before="60" w:beforeAutospacing="0" w:after="60"/>
        <w:jc w:val="both"/>
      </w:pPr>
      <w:r>
        <w:rPr>
          <w:rFonts w:ascii="Verdana" w:hAnsi="Verdana"/>
          <w:sz w:val="15"/>
          <w:szCs w:val="15"/>
        </w:rPr>
        <w:t>La strategia nazionale di prevenzione della corruzione è attuata mediante l’azione sinergica dei seguenti soggetti: </w:t>
      </w:r>
    </w:p>
    <w:p w14:paraId="69535D36" w14:textId="77777777" w:rsidR="00FD2DBC" w:rsidRDefault="00FD2DBC" w:rsidP="00FD2DBC">
      <w:pPr>
        <w:pStyle w:val="NormaleWeb"/>
        <w:spacing w:before="60" w:beforeAutospacing="0" w:after="60"/>
        <w:jc w:val="both"/>
      </w:pPr>
      <w:r>
        <w:rPr>
          <w:rFonts w:ascii="Verdana" w:hAnsi="Verdana"/>
          <w:sz w:val="15"/>
          <w:szCs w:val="15"/>
        </w:rPr>
        <w:t>– l’A.N.A.C. (ex C.I.V.I.T.) che svolge funzioni di raccordo con le altre autorità ed esercita poteri di vigilanza e controllo per la verifica dell’efficacia delle misure di prevenzione adottate dalle amministrazioni nonché sul rispetto della normativa in materia di trasparenza;</w:t>
      </w:r>
    </w:p>
    <w:p w14:paraId="3E2BBE34" w14:textId="77777777" w:rsidR="00FD2DBC" w:rsidRDefault="00FD2DBC" w:rsidP="00FD2DBC">
      <w:pPr>
        <w:pStyle w:val="NormaleWeb"/>
        <w:spacing w:before="60" w:beforeAutospacing="0" w:after="60"/>
        <w:jc w:val="both"/>
      </w:pPr>
      <w:r>
        <w:rPr>
          <w:rFonts w:ascii="Verdana" w:hAnsi="Verdana"/>
          <w:sz w:val="15"/>
          <w:szCs w:val="15"/>
        </w:rPr>
        <w:t>– la Corte dei conti, che partecipa ordinariamente all’attività di prevenzione attraverso le sue fondamentali funzioni di controllo;</w:t>
      </w:r>
    </w:p>
    <w:p w14:paraId="2F2CA5B6" w14:textId="77777777" w:rsidR="00FD2DBC" w:rsidRDefault="00FD2DBC" w:rsidP="00FD2DBC">
      <w:pPr>
        <w:pStyle w:val="NormaleWeb"/>
        <w:spacing w:before="60" w:beforeAutospacing="0" w:after="60"/>
        <w:jc w:val="both"/>
      </w:pPr>
      <w:r>
        <w:rPr>
          <w:rFonts w:ascii="Verdana" w:hAnsi="Verdana"/>
          <w:sz w:val="15"/>
          <w:szCs w:val="15"/>
        </w:rPr>
        <w:t>– il Comitato interministeriale che ha il compito di fornire direttive attraverso l’elaborazione delle linee di indirizzo;</w:t>
      </w:r>
    </w:p>
    <w:p w14:paraId="5EDE0245" w14:textId="77777777" w:rsidR="00FD2DBC" w:rsidRDefault="00FD2DBC" w:rsidP="00FD2DBC">
      <w:pPr>
        <w:pStyle w:val="NormaleWeb"/>
        <w:spacing w:before="60" w:beforeAutospacing="0" w:after="60"/>
        <w:jc w:val="both"/>
      </w:pPr>
      <w:r>
        <w:rPr>
          <w:rFonts w:ascii="Verdana" w:hAnsi="Verdana"/>
          <w:sz w:val="15"/>
          <w:szCs w:val="15"/>
        </w:rPr>
        <w:t>– a Conferenza unificata che è chiamata a individuare, attraverso apposite intese, gli adempimenti e i termini per l’attuazione della legge e dei decreti attuativi;</w:t>
      </w:r>
    </w:p>
    <w:p w14:paraId="0609F207" w14:textId="77777777" w:rsidR="00FD2DBC" w:rsidRDefault="00FD2DBC" w:rsidP="00FD2DBC">
      <w:pPr>
        <w:pStyle w:val="NormaleWeb"/>
        <w:spacing w:before="60" w:beforeAutospacing="0" w:after="60"/>
        <w:jc w:val="both"/>
      </w:pPr>
      <w:r>
        <w:rPr>
          <w:rFonts w:ascii="Verdana" w:hAnsi="Verdana"/>
          <w:sz w:val="15"/>
          <w:szCs w:val="15"/>
        </w:rPr>
        <w:t>– il Dipartimento della Funzione Pubblica che opera come soggetto promotore delle strategie di prevenzione e come coordinatore della loro attuazione; </w:t>
      </w:r>
    </w:p>
    <w:p w14:paraId="4696ABAB" w14:textId="77777777" w:rsidR="00FD2DBC" w:rsidRDefault="00FD2DBC" w:rsidP="00FD2DBC">
      <w:pPr>
        <w:pStyle w:val="NormaleWeb"/>
        <w:spacing w:before="60" w:beforeAutospacing="0" w:after="60"/>
        <w:jc w:val="both"/>
      </w:pPr>
      <w:r>
        <w:rPr>
          <w:rFonts w:ascii="Verdana" w:hAnsi="Verdana"/>
          <w:sz w:val="15"/>
          <w:szCs w:val="15"/>
        </w:rPr>
        <w:t>– il Prefetto che fornisce, su apposita richiesta, supporto tecnico ed informativo in materia.</w:t>
      </w:r>
    </w:p>
    <w:p w14:paraId="1D4490A5" w14:textId="77777777" w:rsidR="00FD2DBC" w:rsidRDefault="00FD2DBC" w:rsidP="00FD2DBC">
      <w:pPr>
        <w:pStyle w:val="NormaleWeb"/>
        <w:spacing w:before="60" w:beforeAutospacing="0" w:after="60"/>
      </w:pPr>
      <w:r>
        <w:rPr>
          <w:rFonts w:ascii="Verdana" w:hAnsi="Verdana"/>
          <w:sz w:val="15"/>
          <w:szCs w:val="15"/>
        </w:rPr>
        <w:t>I soggetti interni individuati sono i seguenti:</w:t>
      </w:r>
    </w:p>
    <w:p w14:paraId="6A6DD564" w14:textId="77777777" w:rsidR="00FD2DBC" w:rsidRDefault="00FD2DBC" w:rsidP="00FD2DBC">
      <w:pPr>
        <w:pStyle w:val="NormaleWeb"/>
        <w:spacing w:before="60" w:beforeAutospacing="0" w:after="60"/>
      </w:pPr>
      <w:r>
        <w:rPr>
          <w:rFonts w:ascii="Verdana" w:hAnsi="Verdana"/>
          <w:sz w:val="15"/>
          <w:szCs w:val="15"/>
        </w:rPr>
        <w:t> </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8"/>
      </w:tblGrid>
      <w:tr w:rsidR="00FD2DBC" w14:paraId="2CAFA1E6" w14:textId="77777777">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12A05A29" w14:textId="77777777" w:rsidR="00FD2DBC" w:rsidRDefault="00FD2DBC" w:rsidP="00FD2DBC">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Responsabile prevenzione della corruzione</w:t>
            </w:r>
          </w:p>
        </w:tc>
      </w:tr>
      <w:tr w:rsidR="00FD2DBC" w14:paraId="5F0F3621" w14:textId="77777777">
        <w:trPr>
          <w:jc w:val="center"/>
        </w:trPr>
        <w:tc>
          <w:tcPr>
            <w:tcW w:w="0" w:type="auto"/>
            <w:vAlign w:val="center"/>
            <w:hideMark/>
          </w:tcPr>
          <w:p w14:paraId="68E2C793" w14:textId="3B2694B5" w:rsidR="00FD2DBC" w:rsidRDefault="000F1FFE" w:rsidP="00FD2DBC">
            <w:pPr>
              <w:spacing w:before="60" w:after="60" w:line="240" w:lineRule="auto"/>
              <w:rPr>
                <w:rFonts w:ascii="Verdana" w:eastAsiaTheme="minorEastAsia" w:hAnsi="Verdana"/>
                <w:sz w:val="11"/>
                <w:szCs w:val="11"/>
              </w:rPr>
            </w:pPr>
            <w:r>
              <w:rPr>
                <w:rFonts w:ascii="Verdana" w:eastAsiaTheme="minorEastAsia" w:hAnsi="Verdana"/>
                <w:sz w:val="11"/>
                <w:szCs w:val="11"/>
              </w:rPr>
              <w:t>Dott. Scelli Paolo</w:t>
            </w:r>
          </w:p>
        </w:tc>
      </w:tr>
    </w:tbl>
    <w:p w14:paraId="659C871F" w14:textId="77777777" w:rsidR="00FD2DBC" w:rsidRDefault="00FD2DBC" w:rsidP="00FD2DBC">
      <w:pPr>
        <w:pStyle w:val="NormaleWeb"/>
        <w:spacing w:before="60" w:beforeAutospacing="0" w:after="60"/>
        <w:jc w:val="center"/>
      </w:pPr>
      <w:r>
        <w:rPr>
          <w:rFonts w:ascii="Verdana" w:hAnsi="Verdana"/>
          <w:sz w:val="15"/>
          <w:szCs w:val="15"/>
        </w:rPr>
        <w:t> </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8"/>
      </w:tblGrid>
      <w:tr w:rsidR="00FD2DBC" w14:paraId="1E7CE394" w14:textId="77777777">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40F8A91F" w14:textId="77777777" w:rsidR="00FD2DBC" w:rsidRDefault="00FD2DBC" w:rsidP="00FD2DBC">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Responsabile trasparenza</w:t>
            </w:r>
          </w:p>
        </w:tc>
      </w:tr>
      <w:tr w:rsidR="00FD2DBC" w14:paraId="27C3F20E" w14:textId="77777777">
        <w:trPr>
          <w:jc w:val="center"/>
        </w:trPr>
        <w:tc>
          <w:tcPr>
            <w:tcW w:w="0" w:type="auto"/>
            <w:vAlign w:val="center"/>
            <w:hideMark/>
          </w:tcPr>
          <w:p w14:paraId="38336C06" w14:textId="4ADFDF7F" w:rsidR="000F1FFE" w:rsidRDefault="000F1FFE" w:rsidP="00FD2DBC">
            <w:pPr>
              <w:spacing w:before="60" w:after="60" w:line="240" w:lineRule="auto"/>
              <w:rPr>
                <w:rFonts w:ascii="Verdana" w:eastAsiaTheme="minorEastAsia" w:hAnsi="Verdana"/>
                <w:sz w:val="11"/>
                <w:szCs w:val="11"/>
              </w:rPr>
            </w:pPr>
            <w:r>
              <w:rPr>
                <w:rFonts w:ascii="Verdana" w:eastAsiaTheme="minorEastAsia" w:hAnsi="Verdana"/>
                <w:sz w:val="11"/>
                <w:szCs w:val="11"/>
              </w:rPr>
              <w:t>Dott. Scelli Paolo</w:t>
            </w:r>
          </w:p>
        </w:tc>
      </w:tr>
    </w:tbl>
    <w:p w14:paraId="2329CEB1" w14:textId="77777777" w:rsidR="00FD2DBC" w:rsidRDefault="00FD2DBC" w:rsidP="00FD2DBC">
      <w:pPr>
        <w:pStyle w:val="NormaleWeb"/>
        <w:spacing w:before="60" w:beforeAutospacing="0" w:after="60"/>
        <w:jc w:val="center"/>
      </w:pPr>
      <w:r>
        <w:rPr>
          <w:rFonts w:ascii="Verdana" w:hAnsi="Verdana"/>
          <w:sz w:val="15"/>
          <w:szCs w:val="15"/>
        </w:rPr>
        <w:t> </w:t>
      </w:r>
    </w:p>
    <w:p w14:paraId="15EB1A58" w14:textId="77777777" w:rsidR="00FD2DBC" w:rsidRDefault="00FD2DBC" w:rsidP="00FD2DBC">
      <w:pPr>
        <w:pStyle w:val="NormaleWeb"/>
        <w:spacing w:before="60" w:beforeAutospacing="0" w:after="60"/>
        <w:jc w:val="both"/>
      </w:pPr>
      <w:r>
        <w:rPr>
          <w:rFonts w:ascii="Verdana" w:hAnsi="Verdana"/>
          <w:sz w:val="15"/>
          <w:szCs w:val="15"/>
          <w:u w:val="single"/>
        </w:rPr>
        <w:t>Contesto esterno</w:t>
      </w:r>
    </w:p>
    <w:p w14:paraId="775E64BA" w14:textId="77777777" w:rsidR="00FD2DBC" w:rsidRDefault="00FD2DBC" w:rsidP="00FD2DBC">
      <w:pPr>
        <w:pStyle w:val="NormaleWeb"/>
        <w:spacing w:before="60" w:beforeAutospacing="0" w:after="60"/>
        <w:jc w:val="both"/>
      </w:pPr>
      <w:r>
        <w:rPr>
          <w:rFonts w:ascii="Verdana" w:hAnsi="Verdana"/>
          <w:sz w:val="15"/>
          <w:szCs w:val="15"/>
        </w:rPr>
        <w:t>L'analisi del contesto esterno ha quale obiettivo di evidenziare come le caratteristiche dell'ambiente nel quale l'ente opera con riferimento a variabili culturali, criminologiche, sociali ed economiche del territorio possono favorire il verificarsi di fenomeni corruttivi.</w:t>
      </w:r>
    </w:p>
    <w:p w14:paraId="1162F665" w14:textId="77777777" w:rsidR="000F1FFE" w:rsidRPr="00F14DD6" w:rsidRDefault="000F1FFE" w:rsidP="000F1FFE">
      <w:pPr>
        <w:autoSpaceDE w:val="0"/>
        <w:autoSpaceDN w:val="0"/>
        <w:adjustRightInd w:val="0"/>
        <w:spacing w:after="0" w:line="240" w:lineRule="auto"/>
        <w:jc w:val="both"/>
        <w:rPr>
          <w:rFonts w:ascii="Verdana" w:hAnsi="Verdana"/>
          <w:color w:val="000000"/>
          <w:sz w:val="15"/>
          <w:szCs w:val="15"/>
        </w:rPr>
      </w:pPr>
      <w:r w:rsidRPr="00F14DD6">
        <w:rPr>
          <w:rFonts w:ascii="Verdana" w:hAnsi="Verdana"/>
          <w:color w:val="000000"/>
          <w:sz w:val="15"/>
          <w:szCs w:val="15"/>
        </w:rPr>
        <w:t>Negli enti locali, ai fini dell'analisi del contesto esterno, i responsabili anticorruzione possono avvalersi degli elementi e dei dati contenuti nelle relazioni periodiche sullo stato dell'ordine e della sicurezza pubblica, presentate al Parlamento dal Ministero dell'Interno e pubblicate sul sito della Camera dei Deputati.</w:t>
      </w:r>
    </w:p>
    <w:p w14:paraId="1C934661" w14:textId="77777777" w:rsidR="000F1FFE" w:rsidRPr="00F14DD6" w:rsidRDefault="000F1FFE" w:rsidP="000F1FFE">
      <w:pPr>
        <w:autoSpaceDE w:val="0"/>
        <w:autoSpaceDN w:val="0"/>
        <w:adjustRightInd w:val="0"/>
        <w:spacing w:after="0" w:line="240" w:lineRule="auto"/>
        <w:jc w:val="both"/>
        <w:rPr>
          <w:rFonts w:ascii="Verdana" w:hAnsi="Verdana"/>
          <w:color w:val="000000"/>
          <w:sz w:val="15"/>
          <w:szCs w:val="15"/>
        </w:rPr>
      </w:pPr>
      <w:r w:rsidRPr="00F14DD6">
        <w:rPr>
          <w:rFonts w:ascii="Verdana" w:hAnsi="Verdana"/>
          <w:color w:val="000000"/>
          <w:sz w:val="15"/>
          <w:szCs w:val="15"/>
        </w:rPr>
        <w:t>Pertanto, a secondo i dati contenuti nella “Relazione sull’attività delle forze di polizia, sullo stato dell’ordine e della sicurezza pubblica e sulla criminalità organizzata” trasmessa dal Ministro Alfano alla Presidenza della Camera dei deputati il 25 febbraio 2015, disponibile alla pagina web:</w:t>
      </w:r>
    </w:p>
    <w:p w14:paraId="58FFA7DE" w14:textId="77777777" w:rsidR="000F1FFE" w:rsidRPr="00F14DD6" w:rsidRDefault="009D31B5" w:rsidP="000F1FFE">
      <w:pPr>
        <w:autoSpaceDE w:val="0"/>
        <w:autoSpaceDN w:val="0"/>
        <w:adjustRightInd w:val="0"/>
        <w:spacing w:after="0" w:line="240" w:lineRule="auto"/>
        <w:jc w:val="both"/>
        <w:rPr>
          <w:rFonts w:ascii="Verdana" w:hAnsi="Verdana"/>
          <w:color w:val="000000"/>
          <w:sz w:val="15"/>
          <w:szCs w:val="15"/>
        </w:rPr>
      </w:pPr>
      <w:hyperlink r:id="rId7" w:history="1">
        <w:r w:rsidR="000F1FFE" w:rsidRPr="00F14DD6">
          <w:rPr>
            <w:rStyle w:val="Collegamentoipertestuale"/>
            <w:rFonts w:ascii="Verdana" w:hAnsi="Verdana"/>
            <w:b/>
            <w:bCs/>
            <w:sz w:val="15"/>
            <w:szCs w:val="15"/>
          </w:rPr>
          <w:t>http://www.camera.it/leg17/494?idLegislatura=17&amp;categoria=038&amp;tipologiaDoc=elenco_categoria</w:t>
        </w:r>
      </w:hyperlink>
      <w:r w:rsidR="000F1FFE" w:rsidRPr="00F14DD6">
        <w:rPr>
          <w:rFonts w:ascii="Verdana" w:hAnsi="Verdana"/>
          <w:b/>
          <w:bCs/>
          <w:color w:val="000000"/>
          <w:sz w:val="15"/>
          <w:szCs w:val="15"/>
        </w:rPr>
        <w:t xml:space="preserve"> </w:t>
      </w:r>
      <w:r w:rsidR="000F1FFE" w:rsidRPr="00F14DD6">
        <w:rPr>
          <w:rFonts w:ascii="Verdana" w:hAnsi="Verdana"/>
          <w:color w:val="000000"/>
          <w:sz w:val="15"/>
          <w:szCs w:val="15"/>
        </w:rPr>
        <w:t>per la provincia di appartenenza dell’ente, risulta quanto segue:</w:t>
      </w:r>
    </w:p>
    <w:p w14:paraId="62D7C511"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“Lo scenario criminale della provincia di Brescia risente dell’influenza di rilevanti fattori, quali la vicinanza al territorio milanese, la presenza di importanti vie di comunicazione e le particolari connotazioni economicofinanziarie del contesto.</w:t>
      </w:r>
    </w:p>
    <w:p w14:paraId="0AAFF9B7"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lastRenderedPageBreak/>
        <w:t>Infatti, si registrano, un alto tenore di vita, un diffuso benessere, la presenza di numerose aziende, attive nel settore del turismo, edile, immobiliare, dei beni voluttuari (autosaloni e centri commerciali) e dell’intrattenimento (discoteche e night-club).</w:t>
      </w:r>
    </w:p>
    <w:p w14:paraId="1C0BA179"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A ciò si aggiunge, quale ulteriore stimolo di penetrazione per la criminalità organizzata, la vicinanza con le note località turistiche e di conseguenza la più ampia possibilità di riciclare i proventi da attività illecite.</w:t>
      </w:r>
    </w:p>
    <w:p w14:paraId="053E5715"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Pertanto, il territorio bresciano in ragione delle non poche possibilità che offre, è considerato un bacino ideale per la perpetrazione anche di delitti di carattere tributario o attività di reimpiego e di riciclaggio, spesso, portate a compimento, con sempre più rilevanti modalità esecutive.</w:t>
      </w:r>
    </w:p>
    <w:p w14:paraId="439F75FA"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 xml:space="preserve">Il territorio bresciano è interessato dall’operatività di proiezioni della criminalità mafiosa tradizionale, con particolare riferimento alle consorterie della ‘Ndrangheta calabrese, il cui scopo principale è quello di radicarsi nella realtà economica locale e legale al fine di reinvestire e riciclare i proventi illeciti nei settori di maggiore rilevanza economica, soprattutto in quello edilizio e turistico-alberghiero e </w:t>
      </w:r>
      <w:r w:rsidRPr="00F14DD6">
        <w:rPr>
          <w:rFonts w:ascii="Verdana" w:hAnsi="Verdana"/>
          <w:b/>
          <w:bCs/>
          <w:i/>
          <w:iCs/>
          <w:color w:val="000000"/>
          <w:sz w:val="15"/>
          <w:szCs w:val="15"/>
        </w:rPr>
        <w:t>attraverso l’aggiudicazione di appalti pubblici</w:t>
      </w:r>
      <w:r w:rsidRPr="00F14DD6">
        <w:rPr>
          <w:rFonts w:ascii="Verdana" w:hAnsi="Verdana"/>
          <w:i/>
          <w:iCs/>
          <w:color w:val="000000"/>
          <w:sz w:val="15"/>
          <w:szCs w:val="15"/>
        </w:rPr>
        <w:t>.</w:t>
      </w:r>
    </w:p>
    <w:p w14:paraId="577DDE3F"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Al riguardo, le potenzialità economiche e finanziarie di tutta l’area costituiscono un bacino di primario interesse per iniziative imprenditoriali di elevato profilo in diversi settori, e ciò ancor più per l’imprenditoria criminale che può disporre di risorse facilmente reperibili frutto di attività criminose.</w:t>
      </w:r>
    </w:p>
    <w:p w14:paraId="12C3FC58"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Inoltre, in un contesto che risente di un clima di recessione economica, le difficoltà di imprenditori (piccoli e medi), connesse all’ accesso al credito, sono all’ origine di pratiche usuraie finalizzate a subentrare nelle svariate attività economiche.</w:t>
      </w:r>
    </w:p>
    <w:p w14:paraId="03B46D33"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Sul territorio in argomento, è nota, la storica presenza di soggetti riconducibili a gruppi di matrice ‘ndranghetista e legati soprattutto ad esponenti delle famiglie “Bellocco” di Rosarno (RC), attivi nel narcotraffico, nelle estorsioni, nel riciclaggio, nella bancarotta fraudolenta di imprese attive nel settore edile e nel controllo di tutte le attività commerciali e imprenditoriali, dei “Condello” dediti al traffico di stupefacenti ed armi, controllo degli appalti e racket delle estorsioni, dei “Piromalli-Molè” di Gioia Tauro (RC), insediati nella zona del lago di Garda Bresciano e dei“Mazzaferro” , con ramificazioni nel territorio del comune di Lumezzane.</w:t>
      </w:r>
    </w:p>
    <w:p w14:paraId="3BCDFDF7"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La provincia di Brescia risulta da anni interessata dall’operatività di organizzazioni criminali camorristiche, specie della famiglia “Laezza” contigua al clan “ Moccia” di Afragola (NA) operativa, soprattutto nell’infiltrazione di attività commerciali.</w:t>
      </w:r>
    </w:p>
    <w:p w14:paraId="6894CEA9"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Inoltre, a Brescia è stato registrato l’interesse di elementi di rilievo del clan camorristico Fabbrocino per operazioni di riciclaggio e reimpiego di capitali illeciti.</w:t>
      </w:r>
    </w:p>
    <w:p w14:paraId="2FC912BF"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Per quanto concerne l’aggressione dei patrimoni illecitamente accumulati (tema centrale nell’azione di contrasto alla criminalità organizzata), nel 2013 l’applicazione delle misure di prevenzione patrimoniali ha prodotto nel bresciano risultati significativi per quanto riguarda il sequestro di beni (soprattutto di beni immobili, ma anche alcuni beni mobili); tuttavia nell’anno è stata censita anche qualche confisca (beni mobili).</w:t>
      </w:r>
    </w:p>
    <w:p w14:paraId="4FE0EBB3"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Sul territorio, relativamente al mercato delle sostanze stupefacenti, non si manifestano conflittualità tra gruppi italiani o di altra etnia bensì, attività poste in essere in sinergia.</w:t>
      </w:r>
    </w:p>
    <w:p w14:paraId="02BF025B"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Nel 2013 sono stati sequestrati 1.402,14 Kg. di sostanze stupefacenti, 107 dosi e 371 piante di cannabis: in particolare, sono stati sottoposti a sequestro 3,53 Kg. di eroina, 41,54 Kg. di cocaina, 1.325 Kg. di hashish, 31,95 Kg. di marijuana, 17 dosi di droghe sintetiche e 90 dosi di altre droghe.</w:t>
      </w:r>
    </w:p>
    <w:p w14:paraId="74CA05BE"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Nello stesso anno le persone denunciate all’A.G., in relazione a tali delitti, sono state 537 di cui 335 stranieri.</w:t>
      </w:r>
    </w:p>
    <w:p w14:paraId="054B3C12"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Con riferimento a tali traffici, si conferma l’interessamento degli stranieri (i quali nel 2013 hanno superato gli italiani).</w:t>
      </w:r>
    </w:p>
    <w:p w14:paraId="324C3444"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Il dato riferito alle tipologie di reato ascritte alle persone segnalate nel 2013, è di 493 denunciati per traffico di sostanze stupefacenti, 42 denunciati per associazionismo e 2 denunciati per altri reati.</w:t>
      </w:r>
    </w:p>
    <w:p w14:paraId="307DD13F"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Il dato complessivo dei sequestri di droga evidenzia l’intercettazione soprattutto di hashish, ma anche di cocaina, marijuana, eroina, droghe sintetiche e piante di cannabis.</w:t>
      </w:r>
    </w:p>
    <w:p w14:paraId="65D12EBB"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La criminalità etnica (africana, dell’Est Europa, dell’ area balcanica, del Sudamerica e cinese), risulta attiva in molteplici attività delittuose.</w:t>
      </w:r>
    </w:p>
    <w:p w14:paraId="24FABBC3"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Le attività investigative hanno dimostrato il significativo interesse e coinvolgimento per il narcotraffico e per il favoreggiamento dell’immigrazione clandestina e del conseguente impiego degli immigrati sia come manodopera in nero negli opifici sia come manovalanza criminale nei settori dello sfruttamento della prostituzione e dello spaccio di sostanze stupefacenti.</w:t>
      </w:r>
    </w:p>
    <w:p w14:paraId="4201FD09"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I sodalizi delinquenziali di etnia albanese sono attivi essenzialmente nei traffici di sostanze stupefacenti, nello sfruttamento della prostituzione, nei delitti contro il patrimonio e nelle estorsioni.</w:t>
      </w:r>
    </w:p>
    <w:p w14:paraId="615509E6"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Relativamente alla criminalità nordafricana, non si evidenzia l’esistenza di vere e proprie organizzazioni criminali bensì, di gruppi (prevalentemente originari del Marocco), dediti soprattutto al narcotraffico, in grado di gestire, autonomamente, l’intera filiera produttiva e commerciale.</w:t>
      </w:r>
    </w:p>
    <w:p w14:paraId="1669AF46"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Soggetti di nazionalità cinese sono dediti alla gestione di attività commerciali, in particolare centri estetici e dai quali derivano ingenti introiti, nello sfruttamento della prostituzione e della manodopera in genere.</w:t>
      </w:r>
    </w:p>
    <w:p w14:paraId="6F75C76D"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Dall’esito di alcuni accertamenti bancari e patrimoniali svolti nei confronti di alcuni cinesi indagati per associazione a delinquere di tipo mafioso, finalizzata tra l’altro, a favorire l’immigrazione clandestina e lo sfruttamento della prostituzione, è emerso che gli stessi avevano acquistato diversi beni immobili in Brescia e sul territorio della provincia, in mancanza di giustificate e adeguate fonti di reddito.</w:t>
      </w:r>
    </w:p>
    <w:p w14:paraId="147086E1"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Dall’esito di alcune attività investigative è emerso il non trascurabile coinvolgimento di soggetti della criminalità sudamericana, spesso in complicità con appartenenti ad altre matrici etniche, nel traffico internazionale di stupefacenti.</w:t>
      </w:r>
    </w:p>
    <w:p w14:paraId="3BF316F7" w14:textId="77777777" w:rsidR="000F1FFE" w:rsidRPr="00F14DD6" w:rsidRDefault="000F1FFE" w:rsidP="000F1FFE">
      <w:pPr>
        <w:autoSpaceDE w:val="0"/>
        <w:autoSpaceDN w:val="0"/>
        <w:adjustRightInd w:val="0"/>
        <w:spacing w:after="0" w:line="240" w:lineRule="auto"/>
        <w:jc w:val="both"/>
        <w:rPr>
          <w:rFonts w:ascii="Verdana" w:hAnsi="Verdana"/>
          <w:i/>
          <w:iCs/>
          <w:color w:val="000000"/>
          <w:sz w:val="15"/>
          <w:szCs w:val="15"/>
        </w:rPr>
      </w:pPr>
      <w:r w:rsidRPr="00F14DD6">
        <w:rPr>
          <w:rFonts w:ascii="Verdana" w:hAnsi="Verdana"/>
          <w:i/>
          <w:iCs/>
          <w:color w:val="000000"/>
          <w:sz w:val="15"/>
          <w:szCs w:val="15"/>
        </w:rPr>
        <w:t>Diffuso è il fenomeno delle truffe e rapine poste in essere da soggetti appartenenti a famiglie di nomadi.</w:t>
      </w:r>
    </w:p>
    <w:p w14:paraId="77C4E887" w14:textId="77777777" w:rsidR="000F1FFE" w:rsidRPr="00F14DD6" w:rsidRDefault="000F1FFE" w:rsidP="000F1FFE">
      <w:pPr>
        <w:pStyle w:val="NormaleWeb"/>
        <w:spacing w:before="60" w:beforeAutospacing="0" w:after="60"/>
        <w:jc w:val="both"/>
        <w:rPr>
          <w:rFonts w:ascii="Verdana" w:hAnsi="Verdana"/>
          <w:i/>
          <w:iCs/>
          <w:color w:val="000000"/>
          <w:sz w:val="15"/>
          <w:szCs w:val="15"/>
        </w:rPr>
      </w:pPr>
      <w:r w:rsidRPr="00F14DD6">
        <w:rPr>
          <w:rFonts w:ascii="Verdana" w:hAnsi="Verdana"/>
          <w:i/>
          <w:iCs/>
          <w:color w:val="000000"/>
          <w:sz w:val="15"/>
          <w:szCs w:val="15"/>
        </w:rPr>
        <w:t>I delitti che nel 2013 hanno fatto registrare un maggior numero di segnalazioni sono i furti (principalmente quelli in abitazione, ma anche quelli con destrezza), i danneggiamenti, le truffe e frodi informatiche, le lesioni dolose, i reati inerenti agli stupefacenti e le rapine”.</w:t>
      </w:r>
    </w:p>
    <w:p w14:paraId="6736F693" w14:textId="77777777" w:rsidR="00FD2DBC" w:rsidRDefault="00FD2DBC" w:rsidP="00FD2DBC">
      <w:pPr>
        <w:pStyle w:val="NormaleWeb"/>
        <w:spacing w:before="60" w:beforeAutospacing="0" w:after="60"/>
        <w:jc w:val="both"/>
      </w:pPr>
    </w:p>
    <w:p w14:paraId="429E45E9" w14:textId="77777777" w:rsidR="00FD2DBC" w:rsidRDefault="00FD2DBC" w:rsidP="00FD2DBC">
      <w:pPr>
        <w:pStyle w:val="NormaleWeb"/>
        <w:spacing w:before="60" w:beforeAutospacing="0" w:after="60"/>
        <w:jc w:val="both"/>
      </w:pPr>
      <w:r>
        <w:rPr>
          <w:rFonts w:ascii="Verdana" w:hAnsi="Verdana"/>
          <w:sz w:val="15"/>
          <w:szCs w:val="15"/>
          <w:u w:val="single"/>
        </w:rPr>
        <w:t>Contesto interno. Analisi organizzativa</w:t>
      </w:r>
    </w:p>
    <w:p w14:paraId="4CECD3AF" w14:textId="77777777" w:rsidR="00FD2DBC" w:rsidRDefault="00FD2DBC" w:rsidP="00FD2DBC">
      <w:pPr>
        <w:pStyle w:val="NormaleWeb"/>
        <w:spacing w:before="60" w:beforeAutospacing="0" w:after="60"/>
        <w:jc w:val="both"/>
      </w:pPr>
      <w:r>
        <w:rPr>
          <w:rFonts w:ascii="Verdana" w:hAnsi="Verdana"/>
          <w:sz w:val="15"/>
          <w:szCs w:val="15"/>
        </w:rPr>
        <w:lastRenderedPageBreak/>
        <w:t>L'analisi del contesto interno focalizza i dati e le informazioni relative all'organizzazione e alla gestione operativa dell'ente; si parte quindi dall'individuazione dei soggetti politici che attualmente sono chiamati ad amministrare l'ente, per poi dettagliare l'articolazione della struttura amministrativa tenuta a gestire le attività dell'ente definendone ruoli e responsabilità.</w:t>
      </w:r>
    </w:p>
    <w:p w14:paraId="3481CAD3" w14:textId="77777777" w:rsidR="00FD2DBC" w:rsidRDefault="00FD2DBC" w:rsidP="00FD2DBC">
      <w:pPr>
        <w:pStyle w:val="NormaleWeb"/>
        <w:spacing w:before="60" w:beforeAutospacing="0" w:after="60"/>
        <w:jc w:val="both"/>
      </w:pPr>
      <w:r>
        <w:rPr>
          <w:rFonts w:ascii="Verdana" w:hAnsi="Verdana"/>
          <w:sz w:val="15"/>
          <w:szCs w:val="15"/>
        </w:rPr>
        <w:t>Per quanto concerne la struttura degli organi politici si rimanda ad apposito allegato del presente piano, così come per l'organigramma, il funzionigramma e l'assegnazione dei dipendenti agli uffici.</w:t>
      </w:r>
    </w:p>
    <w:p w14:paraId="724EC9DB" w14:textId="77777777" w:rsidR="00FD2DBC" w:rsidRDefault="00FD2DBC" w:rsidP="00FD2DBC">
      <w:pPr>
        <w:pStyle w:val="NormaleWeb"/>
        <w:spacing w:before="60" w:beforeAutospacing="0" w:after="60"/>
        <w:jc w:val="both"/>
      </w:pPr>
      <w:r>
        <w:rPr>
          <w:rFonts w:ascii="Verdana" w:hAnsi="Verdana"/>
          <w:sz w:val="15"/>
          <w:szCs w:val="15"/>
        </w:rPr>
        <w:t>Per informazioni più dettagliate sul contesto esterno e interno, si rimanda a quanto già contenuto nel Documento Unico Programmatico (DUP)</w:t>
      </w:r>
    </w:p>
    <w:p w14:paraId="53A2C228" w14:textId="77777777" w:rsidR="00FD2DBC" w:rsidRDefault="00FD2DBC" w:rsidP="00FD2DBC">
      <w:pPr>
        <w:pStyle w:val="NormaleWeb"/>
        <w:spacing w:before="60" w:beforeAutospacing="0" w:after="60"/>
      </w:pPr>
      <w:r>
        <w:rPr>
          <w:rStyle w:val="Enfasigrassetto"/>
          <w:rFonts w:ascii="Verdana" w:hAnsi="Verdana"/>
          <w:sz w:val="27"/>
          <w:szCs w:val="27"/>
        </w:rPr>
        <w:t> </w:t>
      </w:r>
    </w:p>
    <w:p w14:paraId="25FF4C14" w14:textId="77777777" w:rsidR="00FD2DBC" w:rsidRDefault="00FD2DBC" w:rsidP="00FD2DBC">
      <w:pPr>
        <w:pStyle w:val="NormaleWeb"/>
        <w:spacing w:before="60" w:beforeAutospacing="0" w:after="60"/>
      </w:pPr>
      <w:r>
        <w:rPr>
          <w:rStyle w:val="Enfasigrassetto"/>
          <w:rFonts w:ascii="Verdana" w:hAnsi="Verdana"/>
          <w:sz w:val="27"/>
          <w:szCs w:val="27"/>
        </w:rPr>
        <w:t>3. Gestione del rischio</w:t>
      </w:r>
      <w:r>
        <w:br/>
      </w:r>
      <w:r>
        <w:br/>
      </w:r>
      <w:r>
        <w:rPr>
          <w:rFonts w:ascii="Verdana" w:hAnsi="Verdana"/>
          <w:sz w:val="15"/>
          <w:szCs w:val="15"/>
        </w:rPr>
        <w:t>Il processo di gestione del rischio si è sviluppato attraverso le seguenti fasi: </w:t>
      </w:r>
      <w:r>
        <w:t xml:space="preserve"> </w:t>
      </w:r>
    </w:p>
    <w:p w14:paraId="4E16630C" w14:textId="77777777" w:rsidR="00FD2DBC" w:rsidRDefault="00FD2DBC" w:rsidP="00FD2DBC">
      <w:pPr>
        <w:numPr>
          <w:ilvl w:val="0"/>
          <w:numId w:val="2"/>
        </w:numPr>
        <w:spacing w:before="60" w:after="60" w:line="240" w:lineRule="auto"/>
        <w:rPr>
          <w:rFonts w:eastAsia="Times New Roman"/>
        </w:rPr>
      </w:pPr>
      <w:r>
        <w:rPr>
          <w:rFonts w:ascii="Verdana" w:eastAsia="Times New Roman" w:hAnsi="Verdana"/>
          <w:sz w:val="15"/>
          <w:szCs w:val="15"/>
        </w:rPr>
        <w:t>mappatura dei processi e individuazione delle aree di rischio;</w:t>
      </w:r>
    </w:p>
    <w:p w14:paraId="4BE29DA6" w14:textId="77777777" w:rsidR="00FD2DBC" w:rsidRDefault="00FD2DBC" w:rsidP="00FD2DBC">
      <w:pPr>
        <w:numPr>
          <w:ilvl w:val="0"/>
          <w:numId w:val="2"/>
        </w:numPr>
        <w:spacing w:before="60" w:after="60" w:line="240" w:lineRule="auto"/>
        <w:rPr>
          <w:rFonts w:eastAsia="Times New Roman"/>
        </w:rPr>
      </w:pPr>
      <w:r>
        <w:rPr>
          <w:rFonts w:ascii="Verdana" w:eastAsia="Times New Roman" w:hAnsi="Verdana"/>
          <w:sz w:val="15"/>
          <w:szCs w:val="15"/>
        </w:rPr>
        <w:t>valutazione del rischio;</w:t>
      </w:r>
    </w:p>
    <w:p w14:paraId="4FC6BE6C" w14:textId="77777777" w:rsidR="00FD2DBC" w:rsidRDefault="00FD2DBC" w:rsidP="00FD2DBC">
      <w:pPr>
        <w:numPr>
          <w:ilvl w:val="0"/>
          <w:numId w:val="2"/>
        </w:numPr>
        <w:spacing w:before="60" w:after="60" w:line="240" w:lineRule="auto"/>
        <w:rPr>
          <w:rFonts w:eastAsia="Times New Roman"/>
        </w:rPr>
      </w:pPr>
      <w:r>
        <w:rPr>
          <w:rFonts w:ascii="Verdana" w:eastAsia="Times New Roman" w:hAnsi="Verdana"/>
          <w:sz w:val="15"/>
          <w:szCs w:val="15"/>
        </w:rPr>
        <w:t>trattamento del rischio;</w:t>
      </w:r>
    </w:p>
    <w:p w14:paraId="16841C43" w14:textId="77777777" w:rsidR="00FD2DBC" w:rsidRDefault="00FD2DBC" w:rsidP="00FD2DBC">
      <w:pPr>
        <w:pStyle w:val="NormaleWeb"/>
        <w:spacing w:before="60" w:beforeAutospacing="0" w:after="60"/>
        <w:jc w:val="both"/>
        <w:rPr>
          <w:rFonts w:eastAsiaTheme="minorEastAsia"/>
        </w:rPr>
      </w:pPr>
      <w:r>
        <w:rPr>
          <w:rFonts w:ascii="Verdana" w:hAnsi="Verdana"/>
          <w:sz w:val="15"/>
          <w:szCs w:val="15"/>
        </w:rPr>
        <w:t>Gli esiti e gli obiettivi dell'attività svolta sono stati compendiati nelle  Tabelle allegate al piano.</w:t>
      </w:r>
    </w:p>
    <w:p w14:paraId="653D06D0" w14:textId="77777777" w:rsidR="00FD2DBC" w:rsidRDefault="00FD2DBC" w:rsidP="00FD2DBC">
      <w:pPr>
        <w:pStyle w:val="NormaleWeb"/>
        <w:spacing w:before="60" w:beforeAutospacing="0" w:after="60"/>
        <w:jc w:val="both"/>
      </w:pPr>
      <w:r>
        <w:rPr>
          <w:rFonts w:ascii="Verdana" w:hAnsi="Verdana"/>
          <w:sz w:val="15"/>
          <w:szCs w:val="15"/>
        </w:rPr>
        <w:t>Di seguito vengono descritti i passaggi dell’iter procedurale esplicato nelle successive tabelle.</w:t>
      </w:r>
    </w:p>
    <w:p w14:paraId="713B368C" w14:textId="77777777" w:rsidR="00FD2DBC" w:rsidRDefault="00FD2DBC" w:rsidP="00FD2DBC">
      <w:pPr>
        <w:pStyle w:val="NormaleWeb"/>
        <w:spacing w:before="60" w:beforeAutospacing="0" w:after="60"/>
        <w:jc w:val="both"/>
      </w:pPr>
      <w:r>
        <w:rPr>
          <w:rFonts w:ascii="Verdana" w:hAnsi="Verdana"/>
          <w:sz w:val="15"/>
          <w:szCs w:val="15"/>
        </w:rPr>
        <w:t>Per far sì che la gestione del rischio sia efficace,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14:paraId="07A882A9" w14:textId="77777777" w:rsidR="00FD2DBC" w:rsidRDefault="00FD2DBC" w:rsidP="00FD2DBC">
      <w:pPr>
        <w:numPr>
          <w:ilvl w:val="0"/>
          <w:numId w:val="3"/>
        </w:numPr>
        <w:spacing w:before="60" w:after="60" w:line="240" w:lineRule="auto"/>
        <w:rPr>
          <w:rFonts w:eastAsia="Times New Roman"/>
        </w:rPr>
      </w:pPr>
      <w:r>
        <w:rPr>
          <w:rFonts w:ascii="Verdana" w:eastAsia="Times New Roman" w:hAnsi="Verdana"/>
          <w:sz w:val="15"/>
          <w:szCs w:val="15"/>
        </w:rPr>
        <w:t>La gestione del rischio crea e protegge il valore.</w:t>
      </w:r>
      <w:r>
        <w:rPr>
          <w:rFonts w:eastAsia="Times New Roman"/>
        </w:rPr>
        <w:t xml:space="preserve"> </w:t>
      </w:r>
    </w:p>
    <w:p w14:paraId="66A95327"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   La gestione del rischio contribuisce in maniera dimostrabile al raggiungimento degli obiettivi ed al miglioramento delle prestazione, per esempio in termini di salute e sicurezza delle persone, security, rispetto dei requisiti cogenti, consenso presso l'opinione pubblica, protezione dell'ambiente, qualità del prodotto gestione dei progetti, efficienza nelle operazioni, governance e reputazione.</w:t>
      </w:r>
    </w:p>
    <w:p w14:paraId="08E7DD22" w14:textId="77777777" w:rsidR="00FD2DBC" w:rsidRDefault="00FD2DBC" w:rsidP="00FD2DBC">
      <w:pPr>
        <w:numPr>
          <w:ilvl w:val="0"/>
          <w:numId w:val="3"/>
        </w:numPr>
        <w:spacing w:before="60" w:after="60" w:line="240" w:lineRule="auto"/>
        <w:rPr>
          <w:rFonts w:eastAsia="Times New Roman"/>
        </w:rPr>
      </w:pPr>
      <w:r>
        <w:rPr>
          <w:rFonts w:ascii="Verdana" w:eastAsia="Times New Roman" w:hAnsi="Verdana"/>
          <w:sz w:val="15"/>
          <w:szCs w:val="15"/>
        </w:rPr>
        <w:t>La gestione del rischio è parte integrante di tutti i processi dell’organizzazione.</w:t>
      </w:r>
      <w:r>
        <w:rPr>
          <w:rFonts w:eastAsia="Times New Roman"/>
        </w:rPr>
        <w:t xml:space="preserve"> </w:t>
      </w:r>
    </w:p>
    <w:p w14:paraId="421B0C49"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   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14:paraId="22B3296F" w14:textId="77777777" w:rsidR="00FD2DBC" w:rsidRDefault="00FD2DBC" w:rsidP="00FD2DBC">
      <w:pPr>
        <w:numPr>
          <w:ilvl w:val="0"/>
          <w:numId w:val="3"/>
        </w:numPr>
        <w:spacing w:before="60" w:after="60" w:line="240" w:lineRule="auto"/>
        <w:rPr>
          <w:rFonts w:eastAsia="Times New Roman"/>
        </w:rPr>
      </w:pPr>
      <w:r>
        <w:rPr>
          <w:rFonts w:ascii="Verdana" w:eastAsia="Times New Roman" w:hAnsi="Verdana"/>
          <w:sz w:val="15"/>
          <w:szCs w:val="15"/>
        </w:rPr>
        <w:t>La gestione del rischio è parte del processo decisionale.</w:t>
      </w:r>
      <w:r>
        <w:rPr>
          <w:rFonts w:eastAsia="Times New Roman"/>
        </w:rPr>
        <w:t xml:space="preserve"> </w:t>
      </w:r>
    </w:p>
    <w:p w14:paraId="4E4943CA"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La gestione del rischio aiuta i responsabili delle decisioni ad effettuare scelte consapevoli, determinare la scala di priorità delle azioni e distinguere tra linee di azione alternative.</w:t>
      </w:r>
    </w:p>
    <w:p w14:paraId="6BBA8CA0" w14:textId="77777777" w:rsidR="00FD2DBC" w:rsidRDefault="00FD2DBC" w:rsidP="00FD2DBC">
      <w:pPr>
        <w:numPr>
          <w:ilvl w:val="0"/>
          <w:numId w:val="3"/>
        </w:numPr>
        <w:spacing w:before="60" w:after="60" w:line="240" w:lineRule="auto"/>
        <w:rPr>
          <w:rFonts w:eastAsia="Times New Roman"/>
        </w:rPr>
      </w:pPr>
      <w:r>
        <w:rPr>
          <w:rFonts w:ascii="Verdana" w:eastAsia="Times New Roman" w:hAnsi="Verdana"/>
          <w:sz w:val="15"/>
          <w:szCs w:val="15"/>
        </w:rPr>
        <w:t>La gestione del rischio tratta esplicitamente l’incertezza.</w:t>
      </w:r>
      <w:r>
        <w:rPr>
          <w:rFonts w:eastAsia="Times New Roman"/>
        </w:rPr>
        <w:t xml:space="preserve"> </w:t>
      </w:r>
    </w:p>
    <w:p w14:paraId="6EB1B3B5"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La gestione del rischio tiene conto esplicitamente dell’incertezza, della natura di tale incertezza e di come può essere affrontata.</w:t>
      </w:r>
    </w:p>
    <w:p w14:paraId="32482203" w14:textId="77777777" w:rsidR="00FD2DBC" w:rsidRDefault="00FD2DBC" w:rsidP="00FD2DBC">
      <w:pPr>
        <w:numPr>
          <w:ilvl w:val="0"/>
          <w:numId w:val="3"/>
        </w:numPr>
        <w:spacing w:before="60" w:after="60" w:line="240" w:lineRule="auto"/>
        <w:rPr>
          <w:rFonts w:eastAsia="Times New Roman"/>
        </w:rPr>
      </w:pPr>
      <w:r>
        <w:rPr>
          <w:rFonts w:ascii="Verdana" w:eastAsia="Times New Roman" w:hAnsi="Verdana"/>
          <w:sz w:val="15"/>
          <w:szCs w:val="15"/>
        </w:rPr>
        <w:t xml:space="preserve">La gestione del rischio è sistematica, strutturata e tempestiva. </w:t>
      </w:r>
    </w:p>
    <w:p w14:paraId="144D9F4A"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Un approccio sistematico, tempestivo e strutturato alla gestione del rischio contribuisce all’efficienza ed a risultati coerenti, confrontabili ed affidabili.</w:t>
      </w:r>
    </w:p>
    <w:p w14:paraId="00E49754" w14:textId="77777777" w:rsidR="00FD2DBC" w:rsidRDefault="00FD2DBC" w:rsidP="00FD2DBC">
      <w:pPr>
        <w:numPr>
          <w:ilvl w:val="0"/>
          <w:numId w:val="3"/>
        </w:numPr>
        <w:spacing w:before="60" w:after="60" w:line="240" w:lineRule="auto"/>
        <w:rPr>
          <w:rFonts w:eastAsia="Times New Roman"/>
        </w:rPr>
      </w:pPr>
      <w:r>
        <w:rPr>
          <w:rFonts w:ascii="Verdana" w:eastAsia="Times New Roman" w:hAnsi="Verdana"/>
          <w:sz w:val="15"/>
          <w:szCs w:val="15"/>
        </w:rPr>
        <w:t xml:space="preserve">La gestione del rischio si basa sulle migliori informazioni disponibili. </w:t>
      </w:r>
    </w:p>
    <w:p w14:paraId="5C8E22E4"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 La gestione del rischio è "su misura".</w:t>
      </w:r>
    </w:p>
    <w:p w14:paraId="53DD7991" w14:textId="77777777" w:rsidR="00FD2DBC" w:rsidRDefault="00FD2DBC" w:rsidP="00FD2DBC">
      <w:pPr>
        <w:pStyle w:val="NormaleWeb"/>
        <w:spacing w:before="60" w:beforeAutospacing="0" w:after="60"/>
      </w:pPr>
      <w:r>
        <w:rPr>
          <w:rFonts w:ascii="Verdana" w:hAnsi="Verdana"/>
          <w:sz w:val="15"/>
          <w:szCs w:val="15"/>
        </w:rPr>
        <w:t> </w:t>
      </w:r>
    </w:p>
    <w:p w14:paraId="728D94D4" w14:textId="77777777" w:rsidR="00FD2DBC" w:rsidRDefault="00FD2DBC" w:rsidP="00FD2DBC">
      <w:pPr>
        <w:pStyle w:val="NormaleWeb"/>
        <w:spacing w:before="60" w:beforeAutospacing="0" w:after="60"/>
      </w:pPr>
      <w:r>
        <w:rPr>
          <w:rFonts w:ascii="Verdana" w:hAnsi="Verdana"/>
          <w:sz w:val="15"/>
          <w:szCs w:val="15"/>
        </w:rPr>
        <w:t>La gestione del rischio è in linea con il contesto esterno ed interno e con il profilo di rischio dell’organizzazione dei singoli settori del comune.</w:t>
      </w:r>
      <w:r>
        <w:rPr>
          <w:rFonts w:ascii="Verdana" w:hAnsi="Verdana"/>
          <w:sz w:val="15"/>
          <w:szCs w:val="15"/>
        </w:rPr>
        <w:br/>
        <w:t>La gestione del rischio tiene conto dei fattori umani e culturali.</w:t>
      </w:r>
    </w:p>
    <w:p w14:paraId="3C936B19" w14:textId="77777777" w:rsidR="00FD2DBC" w:rsidRDefault="00FD2DBC" w:rsidP="00FD2DBC">
      <w:pPr>
        <w:pStyle w:val="NormaleWeb"/>
        <w:spacing w:before="60" w:beforeAutospacing="0" w:after="60"/>
      </w:pPr>
      <w:r>
        <w:rPr>
          <w:rFonts w:ascii="Verdana" w:hAnsi="Verdana"/>
          <w:sz w:val="15"/>
          <w:szCs w:val="15"/>
        </w:rPr>
        <w:t> </w:t>
      </w:r>
    </w:p>
    <w:p w14:paraId="7E806F13" w14:textId="77777777" w:rsidR="00FD2DBC" w:rsidRDefault="00FD2DBC" w:rsidP="00FD2DBC">
      <w:pPr>
        <w:pStyle w:val="NormaleWeb"/>
        <w:spacing w:before="60" w:beforeAutospacing="0" w:after="60"/>
      </w:pPr>
      <w:r>
        <w:rPr>
          <w:rFonts w:ascii="Verdana" w:hAnsi="Verdana"/>
          <w:sz w:val="15"/>
          <w:szCs w:val="15"/>
        </w:rPr>
        <w:t>Nell’ambito della gestione del rischio individua capacità, percezioni e aspettative delle persone esterne ed interne che possono facilitare o impedire il raggiungimento degli obiettivi dell’organizzazione.</w:t>
      </w:r>
    </w:p>
    <w:p w14:paraId="203239AB" w14:textId="77777777" w:rsidR="00FD2DBC" w:rsidRDefault="00FD2DBC" w:rsidP="00FD2DBC">
      <w:pPr>
        <w:numPr>
          <w:ilvl w:val="0"/>
          <w:numId w:val="4"/>
        </w:numPr>
        <w:spacing w:before="60" w:after="60" w:line="240" w:lineRule="auto"/>
        <w:rPr>
          <w:rFonts w:eastAsia="Times New Roman"/>
        </w:rPr>
      </w:pPr>
      <w:r>
        <w:rPr>
          <w:rFonts w:ascii="Verdana" w:eastAsia="Times New Roman" w:hAnsi="Verdana"/>
          <w:sz w:val="15"/>
          <w:szCs w:val="15"/>
        </w:rPr>
        <w:t xml:space="preserve">La gestione del rischio è trasparente e inclusiva. </w:t>
      </w:r>
    </w:p>
    <w:p w14:paraId="41DB2213"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lastRenderedPageBreak/>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14:paraId="0EB6FB49" w14:textId="77777777" w:rsidR="00FD2DBC" w:rsidRDefault="00FD2DBC" w:rsidP="00FD2DBC">
      <w:pPr>
        <w:numPr>
          <w:ilvl w:val="0"/>
          <w:numId w:val="4"/>
        </w:numPr>
        <w:spacing w:before="60" w:after="60" w:line="240" w:lineRule="auto"/>
        <w:rPr>
          <w:rFonts w:eastAsia="Times New Roman"/>
        </w:rPr>
      </w:pPr>
      <w:r>
        <w:rPr>
          <w:rFonts w:ascii="Verdana" w:eastAsia="Times New Roman" w:hAnsi="Verdana"/>
          <w:sz w:val="15"/>
          <w:szCs w:val="15"/>
        </w:rPr>
        <w:t xml:space="preserve">La gestione del rischio è dinamica. </w:t>
      </w:r>
    </w:p>
    <w:p w14:paraId="1CD2E4D5" w14:textId="77777777" w:rsidR="00FD2DBC" w:rsidRDefault="00FD2DBC" w:rsidP="00FD2DBC">
      <w:pPr>
        <w:pStyle w:val="NormaleWeb"/>
        <w:spacing w:before="60" w:beforeAutospacing="0" w:after="60"/>
        <w:ind w:left="720"/>
        <w:rPr>
          <w:rFonts w:eastAsiaTheme="minorEastAsia"/>
        </w:rPr>
      </w:pPr>
      <w:r>
        <w:rPr>
          <w:rFonts w:ascii="Verdana" w:hAnsi="Verdana"/>
          <w:sz w:val="15"/>
          <w:szCs w:val="15"/>
        </w:rPr>
        <w:t>La gestione del rischio è sensibile e risponde al cambiamento continuamente. Ogni qual volta accadono eventi esterni ed interni, cambiano il contesto e la conoscenza, si attuano il monitoraggio ed il riesame, emergono nuovi rischi, alcuni rischi si modificano ed altri scompaiono.</w:t>
      </w:r>
    </w:p>
    <w:p w14:paraId="61A17387" w14:textId="77777777" w:rsidR="00FD2DBC" w:rsidRDefault="00FD2DBC" w:rsidP="00FD2DBC">
      <w:pPr>
        <w:numPr>
          <w:ilvl w:val="0"/>
          <w:numId w:val="4"/>
        </w:numPr>
        <w:spacing w:before="60" w:after="60" w:line="240" w:lineRule="auto"/>
        <w:rPr>
          <w:rFonts w:eastAsia="Times New Roman"/>
        </w:rPr>
      </w:pPr>
      <w:r>
        <w:rPr>
          <w:rFonts w:ascii="Verdana" w:eastAsia="Times New Roman" w:hAnsi="Verdana"/>
          <w:sz w:val="15"/>
          <w:szCs w:val="15"/>
        </w:rPr>
        <w:t>La gestione del rischio favorisce il miglioramento continuo dell’organizzazione.</w:t>
      </w:r>
    </w:p>
    <w:p w14:paraId="09D9EC12" w14:textId="77777777" w:rsidR="00FD2DBC" w:rsidRDefault="00FD2DBC" w:rsidP="00FD2DBC">
      <w:pPr>
        <w:pStyle w:val="NormaleWeb"/>
        <w:spacing w:before="60" w:beforeAutospacing="0" w:after="60"/>
        <w:rPr>
          <w:rFonts w:eastAsiaTheme="minorEastAsia"/>
        </w:rPr>
      </w:pPr>
      <w:r>
        <w:rPr>
          <w:rFonts w:ascii="Verdana" w:hAnsi="Verdana"/>
          <w:sz w:val="15"/>
          <w:szCs w:val="15"/>
        </w:rPr>
        <w:t>Le organizzazioni dovrebbero sviluppare ed attuare strategie per migliorare la maturità della propria gestione del rischio insieme a tutti gli altri aspetti della propria organizzazione.</w:t>
      </w:r>
    </w:p>
    <w:p w14:paraId="084222D8" w14:textId="77777777" w:rsidR="00FD2DBC" w:rsidRDefault="00FD2DBC" w:rsidP="00FD2DBC">
      <w:pPr>
        <w:pStyle w:val="NormaleWeb"/>
        <w:spacing w:before="60" w:beforeAutospacing="0" w:after="60"/>
      </w:pPr>
      <w:r>
        <w:t> </w:t>
      </w:r>
    </w:p>
    <w:p w14:paraId="6C3F63B3" w14:textId="77777777" w:rsidR="00FD2DBC" w:rsidRDefault="00FD2DBC" w:rsidP="00FD2DBC">
      <w:pPr>
        <w:pStyle w:val="NormaleWeb"/>
        <w:spacing w:before="60" w:beforeAutospacing="0" w:after="60"/>
      </w:pPr>
      <w:r>
        <w:rPr>
          <w:rStyle w:val="Enfasigrassetto"/>
          <w:rFonts w:ascii="Verdana" w:hAnsi="Verdana"/>
          <w:sz w:val="15"/>
          <w:szCs w:val="15"/>
        </w:rPr>
        <w:t>3.1 Aree di rischio obbligatorie e Aree di rischio specifiche</w:t>
      </w:r>
    </w:p>
    <w:p w14:paraId="56E0C2D0" w14:textId="77777777" w:rsidR="00FD2DBC" w:rsidRDefault="00FD2DBC" w:rsidP="00FD2DBC">
      <w:pPr>
        <w:pStyle w:val="NormaleWeb"/>
        <w:spacing w:before="60" w:beforeAutospacing="0" w:after="60"/>
        <w:jc w:val="both"/>
      </w:pPr>
      <w:r>
        <w:rPr>
          <w:rFonts w:ascii="Verdana" w:hAnsi="Verdana"/>
          <w:sz w:val="15"/>
          <w:szCs w:val="15"/>
        </w:rPr>
        <w:t>Dall'esame effettuato dall'ente sono emerse le seguenti aree di rischio: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26"/>
        <w:gridCol w:w="1362"/>
      </w:tblGrid>
      <w:tr w:rsidR="00FD2DBC" w14:paraId="52AD42AE" w14:textId="77777777">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079E77EA" w14:textId="77777777" w:rsidR="00FD2DBC" w:rsidRDefault="00FD2DBC" w:rsidP="00FD2DBC">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656AF105" w14:textId="77777777" w:rsidR="00FD2DBC" w:rsidRDefault="00FD2DBC" w:rsidP="00FD2DBC">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Sottoaree</w:t>
            </w:r>
          </w:p>
        </w:tc>
      </w:tr>
      <w:tr w:rsidR="00FD2DBC" w14:paraId="47B768B7" w14:textId="7777777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3DC55"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8A1E3"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33BD086B" w14:textId="7777777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3919DB"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A1DD8B"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4DF2AE96" w14:textId="7777777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8D26D"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D8C77"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6BB28323" w14:textId="7777777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2085E8"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BE182E"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59991629" w14:textId="7777777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5DBB2B"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E - provvedimenti pianificazione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2385D"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76B3F4B3" w14:textId="7777777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F3FC95"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2DCA3B"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3FD8390E" w14:textId="7777777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F6ADD"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39997"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3431F3E5" w14:textId="7777777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11AA05"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B47D25"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FD2DBC" w14:paraId="0F9232B0" w14:textId="7777777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670FA"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93064" w14:textId="77777777" w:rsidR="00FD2DBC" w:rsidRDefault="00FD2DBC" w:rsidP="00FD2DBC">
            <w:pPr>
              <w:spacing w:before="60" w:after="60" w:line="240" w:lineRule="auto"/>
              <w:rPr>
                <w:rFonts w:ascii="Verdana" w:eastAsia="Times New Roman" w:hAnsi="Verdana"/>
                <w:sz w:val="11"/>
                <w:szCs w:val="11"/>
              </w:rPr>
            </w:pPr>
            <w:r>
              <w:rPr>
                <w:rFonts w:ascii="Verdana" w:eastAsia="Times New Roman" w:hAnsi="Verdana"/>
                <w:sz w:val="11"/>
                <w:szCs w:val="11"/>
              </w:rPr>
              <w:t>/</w:t>
            </w:r>
          </w:p>
        </w:tc>
      </w:tr>
    </w:tbl>
    <w:p w14:paraId="76AF52EA" w14:textId="77777777" w:rsidR="00FD2DBC" w:rsidRDefault="00FD2DBC" w:rsidP="00FD2DBC">
      <w:pPr>
        <w:pStyle w:val="NormaleWeb"/>
        <w:spacing w:before="60" w:beforeAutospacing="0" w:after="60"/>
        <w:jc w:val="both"/>
        <w:rPr>
          <w:rFonts w:eastAsiaTheme="minorEastAsia"/>
        </w:rPr>
      </w:pPr>
      <w:r>
        <w:rPr>
          <w:rFonts w:ascii="Verdana" w:hAnsi="Verdana"/>
          <w:sz w:val="15"/>
          <w:szCs w:val="15"/>
        </w:rPr>
        <w:t> </w:t>
      </w:r>
    </w:p>
    <w:p w14:paraId="3F0CD810" w14:textId="77777777" w:rsidR="00FD2DBC" w:rsidRDefault="00FD2DBC" w:rsidP="00FD2DBC">
      <w:pPr>
        <w:pStyle w:val="NormaleWeb"/>
        <w:spacing w:before="60" w:beforeAutospacing="0" w:after="60"/>
        <w:jc w:val="both"/>
      </w:pPr>
      <w:r>
        <w:rPr>
          <w:rFonts w:ascii="Verdana" w:hAnsi="Verdana"/>
          <w:sz w:val="15"/>
          <w:szCs w:val="15"/>
        </w:rPr>
        <w:t>In esito alla fase di mappatura è stato possibile stilare un elenco dei processi potenzialmente a rischio attuati dall’Ente. Il sistema MUA, di cui l’Ente si è dotato per la gestione degli adempimenti legati all’anticorruzione, contempla al suo interno l’elenco di tutti i procedimenti amministrativi/attività svolti dal medesimo indipendentemente dal rischio corruttivo riscontrato.</w:t>
      </w:r>
    </w:p>
    <w:p w14:paraId="6AC9BDCB" w14:textId="77777777" w:rsidR="00FD2DBC" w:rsidRDefault="00FD2DBC" w:rsidP="00FD2DBC">
      <w:pPr>
        <w:pStyle w:val="NormaleWeb"/>
        <w:spacing w:before="60" w:beforeAutospacing="0" w:after="60"/>
        <w:jc w:val="both"/>
      </w:pPr>
      <w:r>
        <w:rPr>
          <w:rStyle w:val="Enfasigrassetto"/>
          <w:rFonts w:ascii="Verdana" w:hAnsi="Verdana"/>
          <w:sz w:val="15"/>
          <w:szCs w:val="15"/>
        </w:rPr>
        <w:t>3.2 Modalità di valutazione delle aree di rischio</w:t>
      </w:r>
    </w:p>
    <w:p w14:paraId="588308BC" w14:textId="77777777" w:rsidR="00FD2DBC" w:rsidRDefault="00FD2DBC" w:rsidP="00FD2DBC">
      <w:pPr>
        <w:pStyle w:val="NormaleWeb"/>
        <w:spacing w:before="60" w:beforeAutospacing="0" w:after="60"/>
      </w:pPr>
      <w:r>
        <w:rPr>
          <w:rFonts w:ascii="Verdana" w:hAnsi="Verdana"/>
          <w:sz w:val="15"/>
          <w:szCs w:val="15"/>
        </w:rPr>
        <w:t>Per valutazione del rischio si intende il processo di:</w:t>
      </w:r>
    </w:p>
    <w:p w14:paraId="35F2F508" w14:textId="77777777" w:rsidR="00FD2DBC" w:rsidRDefault="00FD2DBC" w:rsidP="00FD2DBC">
      <w:pPr>
        <w:pStyle w:val="NormaleWeb"/>
        <w:spacing w:before="60" w:beforeAutospacing="0" w:after="60"/>
      </w:pPr>
      <w:r>
        <w:rPr>
          <w:rFonts w:ascii="Verdana" w:hAnsi="Verdana"/>
          <w:sz w:val="15"/>
          <w:szCs w:val="15"/>
        </w:rPr>
        <w:t>- identificazione dei rischi;</w:t>
      </w:r>
      <w:r>
        <w:br/>
      </w:r>
      <w:r>
        <w:rPr>
          <w:rFonts w:ascii="Verdana" w:hAnsi="Verdana"/>
          <w:sz w:val="15"/>
          <w:szCs w:val="15"/>
        </w:rPr>
        <w:t>- analisi dei rischi;</w:t>
      </w:r>
      <w:r>
        <w:br/>
      </w:r>
      <w:r>
        <w:rPr>
          <w:rFonts w:ascii="Verdana" w:hAnsi="Verdana"/>
          <w:sz w:val="15"/>
          <w:szCs w:val="15"/>
        </w:rPr>
        <w:t>- ponderazione dei rischi.</w:t>
      </w:r>
    </w:p>
    <w:p w14:paraId="44AEFA7D" w14:textId="77777777" w:rsidR="00FD2DBC" w:rsidRDefault="00FD2DBC" w:rsidP="00FD2DBC">
      <w:pPr>
        <w:pStyle w:val="NormaleWeb"/>
        <w:spacing w:before="60" w:beforeAutospacing="0" w:after="60"/>
      </w:pPr>
      <w:r>
        <w:rPr>
          <w:rFonts w:ascii="Verdana" w:hAnsi="Verdana"/>
          <w:sz w:val="15"/>
          <w:szCs w:val="15"/>
          <w:u w:val="single"/>
        </w:rPr>
        <w:t>IDENTIFICAZIONE DEI RISCHI</w:t>
      </w:r>
    </w:p>
    <w:p w14:paraId="07CC6B4D" w14:textId="77777777" w:rsidR="00FD2DBC" w:rsidRDefault="00FD2DBC" w:rsidP="00FD2DBC">
      <w:pPr>
        <w:pStyle w:val="NormaleWeb"/>
        <w:spacing w:before="60" w:beforeAutospacing="0" w:after="60"/>
        <w:jc w:val="both"/>
      </w:pPr>
      <w:r>
        <w:rPr>
          <w:rFonts w:ascii="Verdana" w:hAnsi="Verdana"/>
          <w:sz w:val="15"/>
          <w:szCs w:val="15"/>
        </w:rPr>
        <w:t>L’attività di identificazione richiede che per ciascun processo o fase di processo siano fatti emergere i possibili rischi di corruzione. Questi emergono considerando il contesto esterno ed interno all’amministrazione, anche con riferimento alle specifiche posizioni organizzative presenti. </w:t>
      </w:r>
    </w:p>
    <w:p w14:paraId="483D0CF0" w14:textId="77777777" w:rsidR="00FD2DBC" w:rsidRDefault="00FD2DBC" w:rsidP="00FD2DBC">
      <w:pPr>
        <w:pStyle w:val="NormaleWeb"/>
        <w:spacing w:before="60" w:beforeAutospacing="0" w:after="60"/>
        <w:jc w:val="both"/>
      </w:pPr>
      <w:r>
        <w:rPr>
          <w:rFonts w:ascii="Verdana" w:hAnsi="Verdana"/>
          <w:sz w:val="15"/>
          <w:szCs w:val="15"/>
        </w:rPr>
        <w:t>I rischi vengono identificati: </w:t>
      </w:r>
    </w:p>
    <w:p w14:paraId="69263438" w14:textId="77777777" w:rsidR="00FD2DBC" w:rsidRDefault="00FD2DBC" w:rsidP="00FD2DBC">
      <w:pPr>
        <w:pStyle w:val="NormaleWeb"/>
        <w:spacing w:before="60" w:beforeAutospacing="0" w:after="60"/>
        <w:jc w:val="both"/>
      </w:pPr>
      <w:r>
        <w:rPr>
          <w:rFonts w:ascii="Verdana" w:hAnsi="Verdana"/>
          <w:sz w:val="15"/>
          <w:szCs w:val="15"/>
        </w:rPr>
        <w:t>a) mediante consultazione e confronto tra i soggetti coinvolti, tenendo presenti le specificità dell’amministrazione, di ciascun processo e del livello organizzativo a cui il processo si colloca; </w:t>
      </w:r>
    </w:p>
    <w:p w14:paraId="79AE2ACC" w14:textId="77777777" w:rsidR="00FD2DBC" w:rsidRDefault="00FD2DBC" w:rsidP="00FD2DBC">
      <w:pPr>
        <w:pStyle w:val="NormaleWeb"/>
        <w:spacing w:before="60" w:beforeAutospacing="0" w:after="60"/>
        <w:jc w:val="both"/>
      </w:pPr>
      <w:r>
        <w:rPr>
          <w:rFonts w:ascii="Verdana" w:hAnsi="Verdana"/>
          <w:sz w:val="15"/>
          <w:szCs w:val="15"/>
        </w:rPr>
        <w:t>b) dai dati tratti dall’esperienza e, cioè, dalla considerazione di precedenti giudiziali o disciplinari che hanno interessato l’amministrazione. Un altro contributo può essere dato prendendo in considerazione i criteri indicati all'interno del PNA. </w:t>
      </w:r>
    </w:p>
    <w:p w14:paraId="29ACC7E0" w14:textId="77777777" w:rsidR="00FD2DBC" w:rsidRDefault="00FD2DBC" w:rsidP="00FD2DBC">
      <w:pPr>
        <w:pStyle w:val="NormaleWeb"/>
        <w:spacing w:before="60" w:beforeAutospacing="0" w:after="60"/>
        <w:jc w:val="both"/>
      </w:pPr>
      <w:r>
        <w:rPr>
          <w:rFonts w:ascii="Verdana" w:hAnsi="Verdana"/>
          <w:sz w:val="15"/>
          <w:szCs w:val="15"/>
        </w:rPr>
        <w:t>L’attività di identificazione dei rischi è svolta nell’ambito di gruppi di lavoro, con il coinvolgimento dei funzionari responsabili di posizione organizzativa per l’area di rispettiva competenza con il coordinamento del responsabile della prevenzione e con il coinvolgimento del nucleo di valutazione il quale contribuisce alla fase di identificazione mediante le risultanze dell’attività di monitoraggio sulla trasparenza ed integrità dei controlli interni. A questo si aggiunge lo svolgimento di consultazioni ed il coinvolgimento degli utenti e di associazioni di consumatori che possono offrire un contributo con il loro punto di vista e la loro esperienza. </w:t>
      </w:r>
    </w:p>
    <w:p w14:paraId="647CA847" w14:textId="77777777" w:rsidR="00FD2DBC" w:rsidRDefault="00FD2DBC" w:rsidP="00FD2DBC">
      <w:pPr>
        <w:pStyle w:val="NormaleWeb"/>
        <w:spacing w:before="60" w:beforeAutospacing="0" w:after="60"/>
        <w:jc w:val="both"/>
      </w:pPr>
      <w:r>
        <w:rPr>
          <w:rFonts w:ascii="Verdana" w:hAnsi="Verdana"/>
          <w:sz w:val="15"/>
          <w:szCs w:val="15"/>
        </w:rPr>
        <w:t>I rischi individuati sono descritti sinteticamente nelle successive tabelle.</w:t>
      </w:r>
    </w:p>
    <w:p w14:paraId="1D5085B6" w14:textId="77777777" w:rsidR="00FD2DBC" w:rsidRDefault="00FD2DBC" w:rsidP="00FD2DBC">
      <w:pPr>
        <w:pStyle w:val="NormaleWeb"/>
        <w:spacing w:before="60" w:beforeAutospacing="0" w:after="60"/>
        <w:jc w:val="both"/>
      </w:pPr>
      <w:r>
        <w:rPr>
          <w:rFonts w:ascii="Verdana" w:hAnsi="Verdana"/>
          <w:sz w:val="15"/>
          <w:szCs w:val="15"/>
          <w:u w:val="single"/>
        </w:rPr>
        <w:t>ANALISI DEI RISCHI</w:t>
      </w:r>
    </w:p>
    <w:p w14:paraId="35264965" w14:textId="77777777" w:rsidR="00FD2DBC" w:rsidRDefault="00FD2DBC" w:rsidP="00FD2DBC">
      <w:pPr>
        <w:pStyle w:val="NormaleWeb"/>
        <w:spacing w:before="60" w:beforeAutospacing="0" w:after="60"/>
        <w:jc w:val="both"/>
      </w:pPr>
      <w:r>
        <w:rPr>
          <w:rFonts w:ascii="Verdana" w:hAnsi="Verdana"/>
          <w:sz w:val="15"/>
          <w:szCs w:val="15"/>
        </w:rPr>
        <w:lastRenderedPageBreak/>
        <w:t>L’analisi dei rischi consiste nella valutazione della probabilità che il rischio si realizzi e delle conseguenze che il rischio produce (probabilità ed impatto) per giungere alla determinazione del livello di rischio. Il livello di rischio è rappresentato da un valore numerico.</w:t>
      </w:r>
    </w:p>
    <w:p w14:paraId="18DA7CF6" w14:textId="77777777" w:rsidR="00FD2DBC" w:rsidRDefault="00FD2DBC" w:rsidP="00FD2DBC">
      <w:pPr>
        <w:pStyle w:val="NormaleWeb"/>
        <w:spacing w:before="60" w:beforeAutospacing="0" w:after="60"/>
        <w:jc w:val="both"/>
      </w:pPr>
      <w:r>
        <w:rPr>
          <w:rFonts w:ascii="Verdana" w:hAnsi="Verdana"/>
          <w:sz w:val="15"/>
          <w:szCs w:val="15"/>
        </w:rPr>
        <w:t>Per ciascun rischio catalogato occorre stimare il valore delle probabilità e il valore dell’impatto. In virtù del forte impatto organizzativo sull’ente determinato dallo stato di pandemia in corso si è ritenuto di proseguire con la valutazione del rischio attraverso i criteri indicati nell’Allegato 5 al PNA 2013 già utilizzati negli scorsi anni, nel corso del 2021 si procederà a sviluppare il cambio di metodologia richiesto dal PNA 2019. </w:t>
      </w:r>
    </w:p>
    <w:p w14:paraId="10F8B7F8" w14:textId="77777777" w:rsidR="00FD2DBC" w:rsidRDefault="00FD2DBC" w:rsidP="00FD2DBC">
      <w:pPr>
        <w:pStyle w:val="NormaleWeb"/>
        <w:spacing w:before="60" w:beforeAutospacing="0" w:after="60"/>
        <w:jc w:val="both"/>
      </w:pPr>
      <w:r>
        <w:rPr>
          <w:rFonts w:ascii="Verdana" w:hAnsi="Verdana"/>
          <w:sz w:val="15"/>
          <w:szCs w:val="15"/>
        </w:rPr>
        <w:t>La stima della probabilità tiene conto, tra gli altri fattori, dei controlli vigenti. A tal fine, per controllo si intende qualunque strumento di controllo utilizzato nell’ente locale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 </w:t>
      </w:r>
    </w:p>
    <w:p w14:paraId="30B66D53" w14:textId="77777777" w:rsidR="00FD2DBC" w:rsidRDefault="00FD2DBC" w:rsidP="00FD2DBC">
      <w:pPr>
        <w:pStyle w:val="NormaleWeb"/>
        <w:spacing w:before="60" w:beforeAutospacing="0" w:after="60"/>
        <w:jc w:val="both"/>
      </w:pPr>
      <w:r>
        <w:rPr>
          <w:rFonts w:ascii="Verdana" w:hAnsi="Verdana"/>
          <w:sz w:val="15"/>
          <w:szCs w:val="15"/>
        </w:rPr>
        <w:t>L’impatto si misura in termini di: impatto economico; impatto organizzativo; impatto reputazionale. </w:t>
      </w:r>
      <w:r>
        <w:rPr>
          <w:rFonts w:ascii="Verdana" w:hAnsi="Verdana"/>
          <w:sz w:val="15"/>
          <w:szCs w:val="15"/>
        </w:rPr>
        <w:br/>
        <w:t>Il valore della probabilità e il valore dell’impatto debbono essere moltiplicati per ottenere il valore complessivo, che esprime il livello di rischio del processo. </w:t>
      </w:r>
    </w:p>
    <w:p w14:paraId="618CE6E3" w14:textId="77777777" w:rsidR="00FD2DBC" w:rsidRDefault="00FD2DBC" w:rsidP="00FD2DBC">
      <w:pPr>
        <w:pStyle w:val="NormaleWeb"/>
        <w:spacing w:before="60" w:beforeAutospacing="0" w:after="60"/>
      </w:pPr>
      <w:r>
        <w:rPr>
          <w:rFonts w:ascii="Verdana" w:hAnsi="Verdana"/>
          <w:sz w:val="15"/>
          <w:szCs w:val="15"/>
        </w:rPr>
        <w:t>Valore medio della probabilità: </w:t>
      </w:r>
      <w:r>
        <w:rPr>
          <w:rFonts w:ascii="Verdana" w:hAnsi="Verdana"/>
          <w:sz w:val="15"/>
          <w:szCs w:val="15"/>
        </w:rPr>
        <w:br/>
        <w:t>0 = nessuna probabilità; 1 = improbabile; 2 = poco probabile; 3 = probabile; 4 = molto probabile; 5 = altamente probabile.</w:t>
      </w:r>
      <w:r>
        <w:rPr>
          <w:rFonts w:ascii="Verdana" w:hAnsi="Verdana"/>
          <w:sz w:val="15"/>
          <w:szCs w:val="15"/>
        </w:rPr>
        <w:br/>
      </w:r>
      <w:r>
        <w:rPr>
          <w:rFonts w:ascii="Verdana" w:hAnsi="Verdana"/>
          <w:sz w:val="15"/>
          <w:szCs w:val="15"/>
        </w:rPr>
        <w:br/>
        <w:t>Valore medio dell’impatto:</w:t>
      </w:r>
      <w:r>
        <w:rPr>
          <w:rFonts w:ascii="Verdana" w:hAnsi="Verdana"/>
          <w:sz w:val="15"/>
          <w:szCs w:val="15"/>
        </w:rPr>
        <w:br/>
        <w:t>0 = nessun impatto; 1 = marginale; 2 = minore; 3 = soglia; 4 = serio; 5 = superiore.</w:t>
      </w:r>
      <w:r>
        <w:rPr>
          <w:rFonts w:ascii="Verdana" w:hAnsi="Verdana"/>
          <w:sz w:val="15"/>
          <w:szCs w:val="15"/>
        </w:rPr>
        <w:br/>
        <w:t>Valutazione complessiva del rischio (valore probabilità x valore impatto):</w:t>
      </w:r>
      <w:r>
        <w:rPr>
          <w:rFonts w:ascii="Verdana" w:hAnsi="Verdana"/>
          <w:sz w:val="15"/>
          <w:szCs w:val="15"/>
        </w:rPr>
        <w:br/>
      </w:r>
      <w:r>
        <w:rPr>
          <w:rFonts w:ascii="Verdana" w:hAnsi="Verdana"/>
          <w:sz w:val="15"/>
          <w:szCs w:val="15"/>
        </w:rPr>
        <w:br/>
        <w:t>Forbice da 0 a 25 (0 = nessun rischio; 25 = rischio estremo)</w:t>
      </w:r>
      <w:r>
        <w:rPr>
          <w:rFonts w:ascii="Verdana" w:hAnsi="Verdana"/>
          <w:sz w:val="15"/>
          <w:szCs w:val="15"/>
        </w:rPr>
        <w:br/>
      </w:r>
      <w:r>
        <w:rPr>
          <w:rFonts w:ascii="Verdana" w:hAnsi="Verdana"/>
          <w:sz w:val="15"/>
          <w:szCs w:val="15"/>
        </w:rPr>
        <w:br/>
        <w:t>PONDERAZIONE DEI RISCHI</w:t>
      </w:r>
      <w:r>
        <w:rPr>
          <w:rFonts w:ascii="Verdana" w:hAnsi="Verdana"/>
          <w:sz w:val="15"/>
          <w:szCs w:val="15"/>
        </w:rPr>
        <w:br/>
        <w:t>La ponderazione dei rischi consiste nel considerare il rischio alla luce dell’analisi e nel raffrontarlo con altri rischi al fine di decidere le priorità e l’urgenza di trattamento. </w:t>
      </w:r>
      <w:r>
        <w:rPr>
          <w:rFonts w:ascii="Verdana" w:hAnsi="Verdana"/>
          <w:sz w:val="15"/>
          <w:szCs w:val="15"/>
        </w:rPr>
        <w:br/>
        <w:t>Intervallo da 1 a 5 rischio basso</w:t>
      </w:r>
      <w:r>
        <w:rPr>
          <w:rFonts w:ascii="Verdana" w:hAnsi="Verdana"/>
          <w:sz w:val="15"/>
          <w:szCs w:val="15"/>
        </w:rPr>
        <w:br/>
        <w:t>Intervallo da 6 a 15 rischio medio</w:t>
      </w:r>
      <w:r>
        <w:rPr>
          <w:rFonts w:ascii="Verdana" w:hAnsi="Verdana"/>
          <w:sz w:val="15"/>
          <w:szCs w:val="15"/>
        </w:rPr>
        <w:br/>
        <w:t>Intervallo da 15 a 25 rischio alto</w:t>
      </w:r>
    </w:p>
    <w:p w14:paraId="75827538" w14:textId="77777777" w:rsidR="00FD2DBC" w:rsidRDefault="00FD2DBC" w:rsidP="00FD2DBC">
      <w:pPr>
        <w:pStyle w:val="NormaleWeb"/>
        <w:spacing w:before="60" w:beforeAutospacing="0" w:after="60"/>
        <w:jc w:val="both"/>
      </w:pPr>
      <w:r>
        <w:rPr>
          <w:rFonts w:ascii="Verdana" w:hAnsi="Verdana"/>
          <w:sz w:val="15"/>
          <w:szCs w:val="15"/>
        </w:rPr>
        <w:t>Sulla base delle aree di rischio di cui sopra è stata effettuata una mappatura di tutti i procedimenti, gli affari e le attività svolte dall'ente.</w:t>
      </w:r>
    </w:p>
    <w:p w14:paraId="28D7CE9F" w14:textId="77777777" w:rsidR="00FD2DBC" w:rsidRDefault="00FD2DBC" w:rsidP="00FD2DBC">
      <w:pPr>
        <w:pStyle w:val="NormaleWeb"/>
        <w:spacing w:before="60" w:beforeAutospacing="0" w:after="60"/>
        <w:jc w:val="both"/>
      </w:pPr>
      <w:r>
        <w:rPr>
          <w:rFonts w:ascii="Verdana" w:hAnsi="Verdana"/>
          <w:sz w:val="15"/>
          <w:szCs w:val="15"/>
        </w:rPr>
        <w:t>Tra tutti i procedimenti/affari/attività sono state individuate quelli potenzialmente a rischio corruzione. L'esito della mappatura ivi descritta viene individuata in allegato al presente piano.</w:t>
      </w:r>
    </w:p>
    <w:p w14:paraId="7A1E652D" w14:textId="77777777" w:rsidR="00FD2DBC" w:rsidRDefault="00FD2DBC" w:rsidP="00FD2DBC">
      <w:pPr>
        <w:spacing w:before="60" w:after="60" w:line="240" w:lineRule="auto"/>
        <w:rPr>
          <w:rFonts w:eastAsia="Times New Roman"/>
        </w:rPr>
      </w:pPr>
      <w:r>
        <w:rPr>
          <w:rFonts w:eastAsia="Times New Roman"/>
        </w:rPr>
        <w:t xml:space="preserve">  </w:t>
      </w:r>
    </w:p>
    <w:p w14:paraId="7B1C711F" w14:textId="77777777" w:rsidR="00FD2DBC" w:rsidRDefault="00FD2DBC" w:rsidP="00FD2DBC">
      <w:pPr>
        <w:pStyle w:val="NormaleWeb"/>
        <w:spacing w:before="60" w:beforeAutospacing="0" w:after="60"/>
        <w:rPr>
          <w:rFonts w:eastAsiaTheme="minorEastAsia"/>
        </w:rPr>
      </w:pPr>
      <w:r>
        <w:rPr>
          <w:rFonts w:ascii="Verdana" w:hAnsi="Verdana"/>
          <w:sz w:val="15"/>
          <w:szCs w:val="15"/>
        </w:rPr>
        <w:t> </w:t>
      </w:r>
    </w:p>
    <w:p w14:paraId="0D2CA32F" w14:textId="77777777" w:rsidR="00FD2DBC" w:rsidRDefault="00FD2DBC" w:rsidP="00FD2DBC">
      <w:pPr>
        <w:pStyle w:val="NormaleWeb"/>
        <w:spacing w:before="60" w:beforeAutospacing="0" w:after="60"/>
      </w:pPr>
      <w:r>
        <w:rPr>
          <w:rFonts w:ascii="Verdana" w:hAnsi="Verdana"/>
          <w:sz w:val="15"/>
          <w:szCs w:val="15"/>
        </w:rPr>
        <w:t> </w:t>
      </w:r>
    </w:p>
    <w:p w14:paraId="047CEB5D" w14:textId="77777777" w:rsidR="00FD2DBC" w:rsidRDefault="00FD2DBC" w:rsidP="00FD2DBC">
      <w:pPr>
        <w:spacing w:before="60" w:after="60" w:line="240" w:lineRule="auto"/>
        <w:rPr>
          <w:rFonts w:eastAsia="Times New Roman"/>
        </w:rPr>
      </w:pPr>
      <w:r>
        <w:rPr>
          <w:rFonts w:ascii="Verdana" w:eastAsia="Times New Roman" w:hAnsi="Verdana"/>
          <w:sz w:val="15"/>
          <w:szCs w:val="15"/>
        </w:rPr>
        <w:t> </w:t>
      </w:r>
      <w:r>
        <w:rPr>
          <w:rFonts w:eastAsia="Times New Roman"/>
        </w:rPr>
        <w:t xml:space="preserve"> </w:t>
      </w:r>
    </w:p>
    <w:p w14:paraId="475E057C" w14:textId="77777777" w:rsidR="00FD2DBC" w:rsidRDefault="00FD2DBC" w:rsidP="00FD2DBC">
      <w:pPr>
        <w:pStyle w:val="NormaleWeb"/>
        <w:spacing w:before="60" w:beforeAutospacing="0" w:after="60"/>
        <w:jc w:val="both"/>
        <w:rPr>
          <w:rFonts w:eastAsiaTheme="minorEastAsia"/>
        </w:rPr>
      </w:pPr>
      <w:r>
        <w:rPr>
          <w:rStyle w:val="Enfasigrassetto"/>
          <w:rFonts w:ascii="Verdana" w:hAnsi="Verdana"/>
          <w:sz w:val="15"/>
          <w:szCs w:val="15"/>
        </w:rPr>
        <w:t>3.3 Misure di prevenzione utili a ridurre la probabilità che il rischio si verifichi</w:t>
      </w:r>
    </w:p>
    <w:p w14:paraId="7D053073" w14:textId="77777777" w:rsidR="00FD2DBC" w:rsidRDefault="00FD2DBC" w:rsidP="00FD2DBC">
      <w:pPr>
        <w:pStyle w:val="NormaleWeb"/>
        <w:spacing w:before="60" w:beforeAutospacing="0" w:after="60"/>
        <w:jc w:val="both"/>
      </w:pPr>
      <w:r>
        <w:rPr>
          <w:rFonts w:ascii="Verdana" w:hAnsi="Verdana"/>
          <w:sz w:val="15"/>
          <w:szCs w:val="15"/>
        </w:rPr>
        <w:t>La fase di trattamento del rischio ha lo scopo di intervenire sui rischi emersi attraverso l’introduzione di apposite misure di prevenzione e contrasto, azioni idonee a neutralizzare o mitigare il livello di rischio-corruzione connesso ai processi amministrativi posti in essere dall’Ente.</w:t>
      </w:r>
    </w:p>
    <w:p w14:paraId="4B2093C7" w14:textId="77777777" w:rsidR="00FD2DBC" w:rsidRDefault="00FD2DBC" w:rsidP="00FD2DBC">
      <w:pPr>
        <w:pStyle w:val="NormaleWeb"/>
        <w:spacing w:before="60" w:beforeAutospacing="0" w:after="60"/>
        <w:jc w:val="both"/>
      </w:pPr>
      <w:r>
        <w:rPr>
          <w:rFonts w:ascii="Verdana" w:hAnsi="Verdana"/>
          <w:sz w:val="15"/>
          <w:szCs w:val="15"/>
        </w:rPr>
        <w:t>L’attività in parola, attuata attraverso un esame approfondito svolto dai process owner sotto il coordinamento del Responsabile della Prevenzione, ha indotto l’Amministrazione ad una verifica complessiva delle misure di prevenzione già in essere conseguendo per ciò stesso un primo obiettivo di formalizzazione di alcune tradizioni organizzative che nel tempo hanno trovato progressivamente sempre più concreta definizione senza tuttavia tradursi in regole scritte.</w:t>
      </w:r>
    </w:p>
    <w:p w14:paraId="3BD217A1" w14:textId="77777777" w:rsidR="00FD2DBC" w:rsidRDefault="00FD2DBC" w:rsidP="00FD2DBC">
      <w:pPr>
        <w:pStyle w:val="NormaleWeb"/>
        <w:spacing w:before="60" w:beforeAutospacing="0" w:after="60"/>
        <w:jc w:val="both"/>
      </w:pPr>
      <w:r>
        <w:rPr>
          <w:rFonts w:ascii="Verdana" w:hAnsi="Verdana"/>
          <w:sz w:val="15"/>
          <w:szCs w:val="15"/>
        </w:rPr>
        <w:t>Quanto precede diviene di assoluta importanza soprattutto nelle ipotesi in cui, pur in presenza di disposizioni normative, l’Amministrazione ha ritenuto sussistere margini di discrezionalità comportamentale che potrebbero rendere possibili comportamenti non virtuosi; in tali ambiti la standardizzazione dei processi e l’introduzione di sistemi di controlli integrati, nonché la formalizzazione di iter procedurali rilevati virtuosi su basi esperienziali, contribuiscono significativamente al trattamento del rischio ed alla sua riduzione.</w:t>
      </w:r>
    </w:p>
    <w:p w14:paraId="05E14945" w14:textId="77777777" w:rsidR="00FD2DBC" w:rsidRDefault="00FD2DBC" w:rsidP="00FD2DBC">
      <w:pPr>
        <w:pStyle w:val="NormaleWeb"/>
        <w:spacing w:before="60" w:beforeAutospacing="0" w:after="60"/>
        <w:jc w:val="both"/>
      </w:pPr>
      <w:r>
        <w:rPr>
          <w:rFonts w:ascii="Verdana" w:hAnsi="Verdana"/>
          <w:sz w:val="15"/>
          <w:szCs w:val="15"/>
        </w:rPr>
        <w:t>La mappatura dei processi dell’Ente ha evidenziato i settori a più alto rischio di corruzione che, al fine di individuare ulteriori e diversificate misure di prevenzione aggiuntive a quelle già adottate nel tempo dall’Organizzazione, sono stati oggetto di attenta riflessione. </w:t>
      </w:r>
    </w:p>
    <w:p w14:paraId="2EC47E03" w14:textId="77777777" w:rsidR="00FD2DBC" w:rsidRDefault="00FD2DBC" w:rsidP="00FD2DBC">
      <w:pPr>
        <w:pStyle w:val="NormaleWeb"/>
        <w:spacing w:before="60" w:beforeAutospacing="0" w:after="60"/>
        <w:jc w:val="both"/>
      </w:pPr>
      <w:r>
        <w:rPr>
          <w:rFonts w:ascii="Verdana" w:hAnsi="Verdana"/>
          <w:sz w:val="15"/>
          <w:szCs w:val="15"/>
        </w:rPr>
        <w:t>Le misure sono classificabili in “misure generali" e  “misure specifiche” ovvero eventuali misure aggiuntive individuate autonomamente da ciascuna amministrazione. L’individuazione e la valutazione delle misure è compiuta dal Responsabile della prevenzione con il coinvolgimento dei dirigenti competenti per area e l’eventuale supporto dell’OIV.</w:t>
      </w:r>
    </w:p>
    <w:p w14:paraId="4322F76E" w14:textId="77777777" w:rsidR="00FD2DBC" w:rsidRDefault="00FD2DBC" w:rsidP="00FD2DBC">
      <w:pPr>
        <w:pStyle w:val="NormaleWeb"/>
        <w:spacing w:before="60" w:beforeAutospacing="0" w:after="60"/>
        <w:jc w:val="both"/>
      </w:pPr>
      <w:r>
        <w:rPr>
          <w:rFonts w:ascii="Verdana" w:hAnsi="Verdana"/>
          <w:sz w:val="15"/>
          <w:szCs w:val="15"/>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14:paraId="2F7B1599" w14:textId="77777777" w:rsidR="00FD2DBC" w:rsidRDefault="00FD2DBC" w:rsidP="00FD2DBC">
      <w:pPr>
        <w:pStyle w:val="NormaleWeb"/>
        <w:spacing w:before="60" w:beforeAutospacing="0" w:after="60"/>
        <w:jc w:val="both"/>
      </w:pPr>
      <w:r>
        <w:rPr>
          <w:rFonts w:ascii="Verdana" w:hAnsi="Verdana"/>
          <w:sz w:val="15"/>
          <w:szCs w:val="15"/>
        </w:rPr>
        <w:t>In allegato al presente piano vengono individuate le misure di prevenzione oggetto di analisi e le attività di controllo e verifica sull'attuazione delle stesse.</w:t>
      </w:r>
    </w:p>
    <w:p w14:paraId="1FF851DF" w14:textId="77777777" w:rsidR="00FD2DBC" w:rsidRDefault="00FD2DBC" w:rsidP="00FD2DBC">
      <w:pPr>
        <w:pStyle w:val="NormaleWeb"/>
        <w:spacing w:before="60" w:beforeAutospacing="0" w:after="60"/>
        <w:jc w:val="both"/>
      </w:pPr>
      <w:r>
        <w:rPr>
          <w:rFonts w:ascii="Verdana" w:hAnsi="Verdana"/>
          <w:sz w:val="15"/>
          <w:szCs w:val="15"/>
        </w:rPr>
        <w:t> </w:t>
      </w:r>
    </w:p>
    <w:p w14:paraId="14698FD6" w14:textId="77777777" w:rsidR="00FD2DBC" w:rsidRDefault="00FD2DBC" w:rsidP="00FD2DBC">
      <w:pPr>
        <w:pStyle w:val="NormaleWeb"/>
        <w:spacing w:before="60" w:beforeAutospacing="0" w:after="60"/>
        <w:jc w:val="both"/>
      </w:pPr>
      <w:r>
        <w:rPr>
          <w:rStyle w:val="Enfasigrassetto"/>
          <w:rFonts w:ascii="Verdana" w:hAnsi="Verdana"/>
          <w:sz w:val="27"/>
          <w:szCs w:val="27"/>
        </w:rPr>
        <w:lastRenderedPageBreak/>
        <w:t>4. Formazione in tema di prevenzione della corruzione</w:t>
      </w:r>
    </w:p>
    <w:p w14:paraId="30BFC495" w14:textId="77777777" w:rsidR="00FD2DBC" w:rsidRDefault="00FD2DBC" w:rsidP="00FD2DBC">
      <w:pPr>
        <w:pStyle w:val="NormaleWeb"/>
        <w:spacing w:before="60" w:beforeAutospacing="0" w:after="60"/>
        <w:jc w:val="both"/>
      </w:pPr>
      <w:r>
        <w:rPr>
          <w:rFonts w:ascii="Verdana" w:hAnsi="Verdana"/>
          <w:sz w:val="15"/>
          <w:szCs w:val="15"/>
        </w:rPr>
        <w:t>La formazione costituisce uno degli strumenti centrali nella prevenzione della corruzione in quanto assume una funzione prioritaria per la più ampia diffusione delle conoscenze e per riaffermare i valori fondanti della cultura organizzativa dell'Ente.</w:t>
      </w:r>
    </w:p>
    <w:p w14:paraId="47E558AD" w14:textId="77777777" w:rsidR="00FD2DBC" w:rsidRDefault="00FD2DBC" w:rsidP="00FD2DBC">
      <w:pPr>
        <w:pStyle w:val="NormaleWeb"/>
        <w:spacing w:before="60" w:beforeAutospacing="0" w:after="60"/>
        <w:jc w:val="both"/>
      </w:pPr>
      <w:r>
        <w:rPr>
          <w:rFonts w:ascii="Verdana" w:hAnsi="Verdana"/>
          <w:sz w:val="15"/>
          <w:szCs w:val="15"/>
        </w:rPr>
        <w:t>Gli intenti perseguiti dall’amministrazione, tramite l’attivazione degli interventi formativi di seguito descritti, sono:</w:t>
      </w:r>
    </w:p>
    <w:p w14:paraId="4487C8CD" w14:textId="77777777" w:rsidR="00FD2DBC" w:rsidRDefault="00FD2DBC" w:rsidP="00FD2DBC">
      <w:pPr>
        <w:pStyle w:val="NormaleWeb"/>
        <w:spacing w:before="60" w:beforeAutospacing="0" w:after="60"/>
        <w:jc w:val="both"/>
      </w:pPr>
      <w:r>
        <w:rPr>
          <w:rFonts w:ascii="Verdana" w:hAnsi="Verdana"/>
          <w:sz w:val="15"/>
          <w:szCs w:val="15"/>
        </w:rPr>
        <w:t>- conoscenza e condivisione degli strumenti di prevenzione (politiche, programmi, misure);</w:t>
      </w:r>
    </w:p>
    <w:p w14:paraId="282F4627" w14:textId="77777777" w:rsidR="00FD2DBC" w:rsidRDefault="00FD2DBC" w:rsidP="00FD2DBC">
      <w:pPr>
        <w:pStyle w:val="NormaleWeb"/>
        <w:spacing w:before="60" w:beforeAutospacing="0" w:after="60"/>
        <w:jc w:val="both"/>
      </w:pPr>
      <w:r>
        <w:rPr>
          <w:rFonts w:ascii="Verdana" w:hAnsi="Verdana"/>
          <w:sz w:val="15"/>
          <w:szCs w:val="15"/>
        </w:rPr>
        <w:t>- creazione di competenze specifiche per lo svolgimento dell’attività nelle aree a più elevato rischio di corruzione;</w:t>
      </w:r>
    </w:p>
    <w:p w14:paraId="38A30C4D" w14:textId="77777777" w:rsidR="00FD2DBC" w:rsidRDefault="00FD2DBC" w:rsidP="00FD2DBC">
      <w:pPr>
        <w:pStyle w:val="NormaleWeb"/>
        <w:spacing w:before="60" w:beforeAutospacing="0" w:after="60"/>
        <w:jc w:val="both"/>
      </w:pPr>
      <w:r>
        <w:rPr>
          <w:rFonts w:ascii="Verdana" w:hAnsi="Verdana"/>
          <w:sz w:val="15"/>
          <w:szCs w:val="15"/>
        </w:rPr>
        <w:t>- diffusione degli orientamenti giurisprudenziali sui vari aspetti dell’esercizio della funzione amministrativa;</w:t>
      </w:r>
    </w:p>
    <w:p w14:paraId="621BC069" w14:textId="77777777" w:rsidR="00FD2DBC" w:rsidRDefault="00FD2DBC" w:rsidP="00FD2DBC">
      <w:pPr>
        <w:pStyle w:val="NormaleWeb"/>
        <w:spacing w:before="60" w:beforeAutospacing="0" w:after="60"/>
        <w:jc w:val="both"/>
      </w:pPr>
      <w:r>
        <w:rPr>
          <w:rFonts w:ascii="Verdana" w:hAnsi="Verdana"/>
          <w:sz w:val="15"/>
          <w:szCs w:val="15"/>
        </w:rPr>
        <w:t>- preclusione dell’insorgenza di prassi contrarie alla corretta interpretazione della norma di volta in volta applicabile;</w:t>
      </w:r>
    </w:p>
    <w:p w14:paraId="5DB15F33" w14:textId="77777777" w:rsidR="00FD2DBC" w:rsidRDefault="00FD2DBC" w:rsidP="00FD2DBC">
      <w:pPr>
        <w:pStyle w:val="NormaleWeb"/>
        <w:spacing w:before="60" w:beforeAutospacing="0" w:after="60"/>
        <w:jc w:val="both"/>
      </w:pPr>
      <w:r>
        <w:rPr>
          <w:rFonts w:ascii="Verdana" w:hAnsi="Verdana"/>
          <w:sz w:val="15"/>
          <w:szCs w:val="15"/>
        </w:rPr>
        <w:t>- diffusione di valori etici, mediante l’insegnamento di principi di comportamento eticamente e giuridicamente adeguati.</w:t>
      </w:r>
    </w:p>
    <w:p w14:paraId="789E064F" w14:textId="77777777" w:rsidR="00FD2DBC" w:rsidRDefault="00FD2DBC" w:rsidP="00FD2DBC">
      <w:pPr>
        <w:pStyle w:val="NormaleWeb"/>
        <w:spacing w:before="60" w:beforeAutospacing="0" w:after="60"/>
        <w:jc w:val="both"/>
      </w:pPr>
      <w:r>
        <w:rPr>
          <w:rFonts w:ascii="Verdana" w:hAnsi="Verdana"/>
          <w:sz w:val="15"/>
          <w:szCs w:val="15"/>
        </w:rPr>
        <w:t>Data l’esigenza di formare sui succitati temi tutto il personale dell’Ente, si intende procedere nel triennio 2021/2023 secondo due diversi livelli di formazione.</w:t>
      </w:r>
    </w:p>
    <w:p w14:paraId="6164FC48" w14:textId="77777777" w:rsidR="00FD2DBC" w:rsidRDefault="00FD2DBC" w:rsidP="00FD2DBC">
      <w:pPr>
        <w:pStyle w:val="NormaleWeb"/>
        <w:spacing w:before="60" w:beforeAutospacing="0" w:after="60"/>
        <w:jc w:val="both"/>
      </w:pPr>
      <w:r>
        <w:rPr>
          <w:rStyle w:val="Enfasigrassetto"/>
          <w:rFonts w:ascii="Verdana" w:hAnsi="Verdana"/>
          <w:sz w:val="15"/>
          <w:szCs w:val="15"/>
        </w:rPr>
        <w:t>4.1 Formazione Generale</w:t>
      </w:r>
    </w:p>
    <w:p w14:paraId="7A2F5276" w14:textId="77777777" w:rsidR="00FD2DBC" w:rsidRDefault="00FD2DBC" w:rsidP="00FD2DBC">
      <w:pPr>
        <w:pStyle w:val="NormaleWeb"/>
        <w:spacing w:before="60" w:beforeAutospacing="0" w:after="60"/>
        <w:jc w:val="both"/>
      </w:pPr>
      <w:r>
        <w:rPr>
          <w:rFonts w:ascii="Verdana" w:hAnsi="Verdana"/>
          <w:sz w:val="15"/>
          <w:szCs w:val="15"/>
        </w:rPr>
        <w:t>Il primo livello, che definiremo d’ora in avanti generale, prevede una formazione destinata a tutto il personale.</w:t>
      </w:r>
      <w:r>
        <w:rPr>
          <w:rFonts w:ascii="Verdana" w:hAnsi="Verdana"/>
          <w:sz w:val="15"/>
          <w:szCs w:val="15"/>
        </w:rPr>
        <w:br/>
        <w:t>Oltre alla creazione di una base di conoscenze omogenea, l’azione formativa si concentrerà sulla costruzione di modalità di conduzione dei processi, orientati a ridurre sensibilmente il rischio di corruzione.</w:t>
      </w:r>
      <w:r>
        <w:rPr>
          <w:rFonts w:ascii="Verdana" w:hAnsi="Verdana"/>
          <w:sz w:val="15"/>
          <w:szCs w:val="15"/>
        </w:rPr>
        <w:br/>
        <w:t xml:space="preserve">L’intero processo della formazione riferito a questo livello sarà gestito dal Responsabile per la prevenzione della Corruzione. </w:t>
      </w:r>
    </w:p>
    <w:p w14:paraId="047B5FD3" w14:textId="77777777" w:rsidR="00FD2DBC" w:rsidRDefault="00FD2DBC" w:rsidP="00FD2DBC">
      <w:pPr>
        <w:pStyle w:val="NormaleWeb"/>
        <w:spacing w:before="60" w:beforeAutospacing="0" w:after="60"/>
        <w:jc w:val="both"/>
      </w:pPr>
      <w:r>
        <w:rPr>
          <w:rFonts w:ascii="Verdana" w:hAnsi="Verdana"/>
          <w:sz w:val="15"/>
          <w:szCs w:val="15"/>
        </w:rPr>
        <w:t>Nello stesso contesto saranno condivisi con il personale le esperienze ed alcune analisi di casi dai quali sia possibile evincere i riferimenti valoriali alla base di un corretto comportamento professionale.</w:t>
      </w:r>
    </w:p>
    <w:p w14:paraId="0C17C4F2" w14:textId="77777777" w:rsidR="00FD2DBC" w:rsidRDefault="00FD2DBC" w:rsidP="00FD2DBC">
      <w:pPr>
        <w:pStyle w:val="NormaleWeb"/>
        <w:spacing w:before="60" w:beforeAutospacing="0" w:after="60"/>
        <w:jc w:val="both"/>
      </w:pPr>
      <w:r>
        <w:rPr>
          <w:rFonts w:ascii="Verdana" w:hAnsi="Verdana"/>
          <w:sz w:val="15"/>
          <w:szCs w:val="15"/>
        </w:rPr>
        <w:t>Nel corso del triennio 2021/2023 il Responsabile per la prevenzione della corruzione provvederà, almeno con cadenza Annuale, a riunire il personale per un approfondimento delle tematiche relative alla prevenzione della corruzione attraverso l’analisi di casi riferiti alla normativa sull’etica e la legalità.</w:t>
      </w:r>
    </w:p>
    <w:p w14:paraId="06EB4099" w14:textId="77777777" w:rsidR="00FD2DBC" w:rsidRDefault="00FD2DBC" w:rsidP="00FD2DBC">
      <w:pPr>
        <w:pStyle w:val="NormaleWeb"/>
        <w:spacing w:before="60" w:beforeAutospacing="0" w:after="60"/>
        <w:jc w:val="both"/>
      </w:pPr>
      <w:r>
        <w:rPr>
          <w:rStyle w:val="Enfasigrassetto"/>
          <w:rFonts w:ascii="Verdana" w:hAnsi="Verdana"/>
          <w:sz w:val="15"/>
          <w:szCs w:val="15"/>
        </w:rPr>
        <w:t>4.2 Formazione specifica</w:t>
      </w:r>
    </w:p>
    <w:p w14:paraId="0A19E868" w14:textId="77777777" w:rsidR="00FD2DBC" w:rsidRDefault="00FD2DBC" w:rsidP="00FD2DBC">
      <w:pPr>
        <w:pStyle w:val="NormaleWeb"/>
        <w:spacing w:before="60" w:beforeAutospacing="0" w:after="60"/>
        <w:jc w:val="both"/>
      </w:pPr>
      <w:r>
        <w:rPr>
          <w:rFonts w:ascii="Verdana" w:hAnsi="Verdana"/>
          <w:sz w:val="15"/>
          <w:szCs w:val="15"/>
        </w:rPr>
        <w:t>Per quanto riguarda gli interventi formativi di secondo livello, cioè “specifici”, l’Ente attiverà nel corso del triennio 2021/2023 specifiche sessioni per tutti i dipendenti chiamati ad operare in settori esposti al rischio corruzione come individuati nel presente Piano.</w:t>
      </w:r>
    </w:p>
    <w:p w14:paraId="1EF58173" w14:textId="77777777" w:rsidR="00FD2DBC" w:rsidRDefault="00FD2DBC" w:rsidP="00FD2DBC">
      <w:pPr>
        <w:pStyle w:val="NormaleWeb"/>
        <w:spacing w:before="60" w:beforeAutospacing="0" w:after="60"/>
        <w:jc w:val="both"/>
      </w:pPr>
      <w:r>
        <w:rPr>
          <w:rFonts w:ascii="Verdana" w:hAnsi="Verdana"/>
          <w:sz w:val="15"/>
          <w:szCs w:val="15"/>
        </w:rPr>
        <w:t>Al fine di accrescere le competenze specifiche proprie del predetto personale, in modo da fornire ai dipendenti indispensabili elementi di conoscenza per contrastare il rischio di eventi corruttivi nello svolgimento dell’attività quotidiana, saranno avviate specifiche sessioni di aggiornamento delle conoscenze necessarie al miglior presidio della posizione funzionale rivestita.</w:t>
      </w:r>
    </w:p>
    <w:p w14:paraId="4B73DDF0" w14:textId="69F4A455" w:rsidR="00FD2DBC" w:rsidRDefault="00FD2DBC" w:rsidP="00FD2DBC">
      <w:pPr>
        <w:pStyle w:val="NormaleWeb"/>
        <w:spacing w:before="60" w:beforeAutospacing="0" w:after="60"/>
        <w:jc w:val="both"/>
      </w:pPr>
      <w:r>
        <w:rPr>
          <w:rFonts w:ascii="Verdana" w:hAnsi="Verdana"/>
          <w:sz w:val="15"/>
          <w:szCs w:val="15"/>
        </w:rPr>
        <w:t>Da ultimo, l’Ente dovrà prevedere l’attivazione di sessioni formative sul P.T.P.C.T. nei confronti del personale assunto a qualunque titolo dall’immissione nei ruoli dell’Ente.</w:t>
      </w:r>
    </w:p>
    <w:p w14:paraId="37160CC4" w14:textId="77777777" w:rsidR="00FD2DBC" w:rsidRDefault="00FD2DBC" w:rsidP="00FD2DBC">
      <w:pPr>
        <w:pStyle w:val="NormaleWeb"/>
        <w:spacing w:before="60" w:beforeAutospacing="0" w:after="60"/>
        <w:jc w:val="both"/>
      </w:pPr>
      <w:r>
        <w:rPr>
          <w:rFonts w:ascii="Verdana" w:hAnsi="Verdana"/>
          <w:sz w:val="15"/>
          <w:szCs w:val="15"/>
        </w:rPr>
        <w:t>Anche il Responsabile per la prevenzione della corruzione parteciperà a specifiche attività formative di approfondimento della tematica in oggetto.</w:t>
      </w:r>
    </w:p>
    <w:p w14:paraId="63F4871B" w14:textId="77777777" w:rsidR="00FD2DBC" w:rsidRDefault="00FD2DBC" w:rsidP="00FD2DBC">
      <w:pPr>
        <w:pStyle w:val="NormaleWeb"/>
        <w:spacing w:before="60" w:beforeAutospacing="0" w:after="60"/>
        <w:jc w:val="both"/>
      </w:pPr>
      <w:r>
        <w:rPr>
          <w:rFonts w:ascii="Verdana" w:hAnsi="Verdana"/>
          <w:sz w:val="15"/>
          <w:szCs w:val="15"/>
        </w:rPr>
        <w:t>  </w:t>
      </w:r>
    </w:p>
    <w:p w14:paraId="36EFF0B9" w14:textId="77777777" w:rsidR="00FD2DBC" w:rsidRDefault="00FD2DBC" w:rsidP="00FD2DBC">
      <w:pPr>
        <w:pStyle w:val="NormaleWeb"/>
        <w:spacing w:before="60" w:beforeAutospacing="0" w:after="60"/>
        <w:jc w:val="both"/>
      </w:pPr>
      <w:r>
        <w:rPr>
          <w:rFonts w:ascii="Verdana" w:hAnsi="Verdana"/>
          <w:sz w:val="15"/>
          <w:szCs w:val="15"/>
        </w:rPr>
        <w:t> </w:t>
      </w:r>
    </w:p>
    <w:p w14:paraId="2DF2C1D9" w14:textId="77777777" w:rsidR="00FD2DBC" w:rsidRDefault="00FD2DBC" w:rsidP="00FD2DBC">
      <w:pPr>
        <w:pStyle w:val="NormaleWeb"/>
        <w:spacing w:before="60" w:beforeAutospacing="0" w:after="60"/>
        <w:jc w:val="both"/>
      </w:pPr>
      <w:r>
        <w:rPr>
          <w:rStyle w:val="Enfasigrassetto"/>
          <w:rFonts w:ascii="Verdana" w:hAnsi="Verdana"/>
          <w:sz w:val="27"/>
          <w:szCs w:val="27"/>
        </w:rPr>
        <w:t>5. Codici di comportamento</w:t>
      </w:r>
    </w:p>
    <w:p w14:paraId="55037719" w14:textId="77777777" w:rsidR="00FD2DBC" w:rsidRDefault="00FD2DBC" w:rsidP="00FD2DBC">
      <w:pPr>
        <w:pStyle w:val="NormaleWeb"/>
        <w:spacing w:before="60" w:beforeAutospacing="0" w:after="60"/>
        <w:jc w:val="both"/>
      </w:pPr>
      <w:r>
        <w:rPr>
          <w:rFonts w:ascii="Verdana" w:hAnsi="Verdana"/>
          <w:sz w:val="15"/>
          <w:szCs w:val="15"/>
        </w:rPr>
        <w:t>Il Legislatore italiano con l’introduzione dell’art. 1 c.44 della L. 190/2012, che ha modificato l’art. 54 del D.Lgs 165/2001, ha delegato al Governo il compito di definire un Codice di Comportamento dei pubblici dipendenti in sostituzione del precedente approvato con D.M. del 28/11/2000; quanto precede con il primario obiettivo di assicurare la prevenzione dei fenomeni di corruzione nonché il rispetto dei doveri costituzionalmente sanciti di diligenza, lealtà ed imparzialità.</w:t>
      </w:r>
    </w:p>
    <w:p w14:paraId="00FCEF0D" w14:textId="77777777" w:rsidR="00FD2DBC" w:rsidRDefault="00FD2DBC" w:rsidP="00FD2DBC">
      <w:pPr>
        <w:pStyle w:val="NormaleWeb"/>
        <w:spacing w:before="60" w:beforeAutospacing="0" w:after="60"/>
        <w:jc w:val="both"/>
      </w:pPr>
      <w:r>
        <w:rPr>
          <w:rFonts w:ascii="Verdana" w:hAnsi="Verdana"/>
          <w:sz w:val="15"/>
          <w:szCs w:val="15"/>
        </w:rPr>
        <w:t>In attuazione della richiamata delega con D.P.R. n. 62 del 2013 è stato approvato il Codice di comportamento dei dipendenti pubblici.  Le prescrizioni di tale regolamento rappresentano, dunque, il codice di comportamento generalmente applicabile nel pubblico impiego privatizzato, costituendo la base minima indefettibile per qualunque Pubblica Amministrazione.</w:t>
      </w:r>
    </w:p>
    <w:p w14:paraId="026B6798" w14:textId="002A1FB6" w:rsidR="00FD2DBC" w:rsidRDefault="00FD2DBC" w:rsidP="00FD2DBC">
      <w:pPr>
        <w:pStyle w:val="NormaleWeb"/>
        <w:spacing w:before="60" w:beforeAutospacing="0" w:after="60"/>
        <w:jc w:val="both"/>
      </w:pPr>
      <w:r>
        <w:rPr>
          <w:rFonts w:ascii="Verdana" w:hAnsi="Verdana"/>
          <w:sz w:val="15"/>
          <w:szCs w:val="15"/>
        </w:rPr>
        <w:t>Il regolamento di cui al D.P.R. 62/2013 è stato integrato dell'Ente attraverso un proprio Codice di comportamento approvato con</w:t>
      </w:r>
      <w:r w:rsidR="00D26C2A">
        <w:rPr>
          <w:rFonts w:ascii="Verdana" w:hAnsi="Verdana"/>
          <w:sz w:val="15"/>
          <w:szCs w:val="15"/>
        </w:rPr>
        <w:t xml:space="preserve"> Delibera di Giunta n.18 del 12/03/2021</w:t>
      </w:r>
      <w:r>
        <w:rPr>
          <w:rFonts w:ascii="Verdana" w:hAnsi="Verdana"/>
          <w:sz w:val="15"/>
          <w:szCs w:val="15"/>
        </w:rPr>
        <w:t>. Tale codice viene presentato in allegato al presente piano.</w:t>
      </w:r>
    </w:p>
    <w:p w14:paraId="6D71E997" w14:textId="77777777" w:rsidR="00FD2DBC" w:rsidRDefault="00FD2DBC" w:rsidP="00FD2DBC">
      <w:pPr>
        <w:pStyle w:val="NormaleWeb"/>
        <w:spacing w:before="60" w:beforeAutospacing="0" w:after="60"/>
        <w:jc w:val="both"/>
      </w:pPr>
      <w:r>
        <w:rPr>
          <w:rFonts w:ascii="Verdana" w:hAnsi="Verdana"/>
          <w:sz w:val="15"/>
          <w:szCs w:val="15"/>
        </w:rPr>
        <w:t>L’Ente nella redazione del Codice di comportamento del personale dell’Ente si è posto come obiettivo la definizione di norme volte a regolare in senso legale ed eticamente corretto il comportamento dei dipendenti tenendo altresì conto delle esigenze organizzative e funzionali specifiche dell’Ente, nonché del contesto di riferimento dello stesso.</w:t>
      </w:r>
    </w:p>
    <w:p w14:paraId="461B341C" w14:textId="77777777" w:rsidR="00FD2DBC" w:rsidRDefault="00FD2DBC" w:rsidP="00FD2DBC">
      <w:pPr>
        <w:pStyle w:val="NormaleWeb"/>
        <w:spacing w:before="60" w:beforeAutospacing="0" w:after="60"/>
        <w:jc w:val="both"/>
      </w:pPr>
      <w:r>
        <w:rPr>
          <w:rFonts w:ascii="Verdana" w:hAnsi="Verdana"/>
          <w:sz w:val="15"/>
          <w:szCs w:val="15"/>
        </w:rPr>
        <w:t>Il nuovo Codice di comportamento si prefigge soprattutto di incentivare una cultura all’interno dell’amministrazione che porti tutti i dipendenti a mantenere costantemente un comportamento corretto ed evitare conflitti tra i loro interessi privati e quelli dell’ Organizzazione, impegnandoli a non sfruttare per fini privati la loro posizione professionale, o informazioni non pubbliche di cui siano venuti a conoscenza per motivi di ufficio.</w:t>
      </w:r>
    </w:p>
    <w:p w14:paraId="1CAAF735" w14:textId="77777777" w:rsidR="00FD2DBC" w:rsidRDefault="00FD2DBC" w:rsidP="00FD2DBC">
      <w:pPr>
        <w:pStyle w:val="NormaleWeb"/>
        <w:spacing w:before="60" w:beforeAutospacing="0" w:after="60"/>
        <w:jc w:val="both"/>
      </w:pPr>
      <w:r>
        <w:rPr>
          <w:rFonts w:ascii="Verdana" w:hAnsi="Verdana"/>
          <w:sz w:val="15"/>
          <w:szCs w:val="15"/>
        </w:rPr>
        <w:t>Nel rispetto delle previsioni normative il Codice di comportamento ha posto in capo ai dipendenti l’obbligo di rispettare le misure contenute nel presente Piano e di prestare ogni collaborazione nei confronti del Responsabile della Prevenzione.</w:t>
      </w:r>
    </w:p>
    <w:p w14:paraId="65DA6858" w14:textId="77777777" w:rsidR="00FD2DBC" w:rsidRDefault="00FD2DBC" w:rsidP="00FD2DBC">
      <w:pPr>
        <w:pStyle w:val="NormaleWeb"/>
        <w:spacing w:before="60" w:beforeAutospacing="0" w:after="60"/>
        <w:jc w:val="both"/>
      </w:pPr>
      <w:r>
        <w:rPr>
          <w:rFonts w:ascii="Verdana" w:hAnsi="Verdana"/>
          <w:sz w:val="15"/>
          <w:szCs w:val="15"/>
        </w:rPr>
        <w:t>L’iter di elaborazione del Codice si è svolto nell’assoluto rispetto delle previsioni normative avuto anche riguardo alle previste procedure di partecipazione onde consentire alle norme ivi contenute di divenire a pieno titolo parte del Codice disciplinare.</w:t>
      </w:r>
    </w:p>
    <w:p w14:paraId="06E1EBBD" w14:textId="77777777" w:rsidR="00FD2DBC" w:rsidRDefault="00FD2DBC" w:rsidP="00FD2DBC">
      <w:pPr>
        <w:pStyle w:val="NormaleWeb"/>
        <w:spacing w:before="60" w:beforeAutospacing="0" w:after="60"/>
        <w:jc w:val="both"/>
      </w:pPr>
      <w:r>
        <w:rPr>
          <w:rFonts w:ascii="Verdana" w:hAnsi="Verdana"/>
          <w:sz w:val="15"/>
          <w:szCs w:val="15"/>
        </w:rPr>
        <w:lastRenderedPageBreak/>
        <w:t>In particolare in fase di elaborazione del Codice si è operato in applicazione delle disposizioni dettate dal D.P.R. 62/2013 con procedura aperta attraverso:</w:t>
      </w:r>
    </w:p>
    <w:p w14:paraId="241D5720" w14:textId="77777777" w:rsidR="00FD2DBC" w:rsidRDefault="00FD2DBC" w:rsidP="00FD2DBC">
      <w:pPr>
        <w:pStyle w:val="NormaleWeb"/>
        <w:spacing w:before="60" w:beforeAutospacing="0" w:after="60"/>
        <w:jc w:val="both"/>
      </w:pPr>
      <w:r>
        <w:rPr>
          <w:rFonts w:ascii="Verdana" w:hAnsi="Verdana"/>
          <w:sz w:val="15"/>
          <w:szCs w:val="15"/>
        </w:rPr>
        <w:t>- il costante coinvolgimento degli stakeholder interni</w:t>
      </w:r>
    </w:p>
    <w:p w14:paraId="14A43993" w14:textId="77777777" w:rsidR="00FD2DBC" w:rsidRDefault="00FD2DBC" w:rsidP="00FD2DBC">
      <w:pPr>
        <w:pStyle w:val="NormaleWeb"/>
        <w:spacing w:before="60" w:beforeAutospacing="0" w:after="60"/>
        <w:jc w:val="both"/>
      </w:pPr>
      <w:r>
        <w:rPr>
          <w:rFonts w:ascii="Verdana" w:hAnsi="Verdana"/>
          <w:sz w:val="15"/>
          <w:szCs w:val="15"/>
        </w:rPr>
        <w:t>- la preventiva pubblicazione del Codice sul portale della comunicazione interna per consentire l’acquisizione di osservazioni/pareri da parte di tutti i dipendenti,</w:t>
      </w:r>
    </w:p>
    <w:p w14:paraId="7B4172CC" w14:textId="77777777" w:rsidR="00FD2DBC" w:rsidRDefault="00FD2DBC" w:rsidP="00FD2DBC">
      <w:pPr>
        <w:pStyle w:val="NormaleWeb"/>
        <w:spacing w:before="60" w:beforeAutospacing="0" w:after="60"/>
        <w:jc w:val="both"/>
      </w:pPr>
      <w:r>
        <w:rPr>
          <w:rFonts w:ascii="Verdana" w:hAnsi="Verdana"/>
          <w:sz w:val="15"/>
          <w:szCs w:val="15"/>
        </w:rPr>
        <w:t>- la condivisione con le Organizzazioni Sindacali maggiormente rappresentative al fine di raccogliere ogni eventuale integrazione/osservazione da parte del soggetto che giuridicamente svolge un ruolo di complessiva rappresentanza delle istanze dei dipendenti.</w:t>
      </w:r>
    </w:p>
    <w:p w14:paraId="18DDF75E" w14:textId="77777777" w:rsidR="00FD2DBC" w:rsidRDefault="00FD2DBC" w:rsidP="00FD2DBC">
      <w:pPr>
        <w:pStyle w:val="NormaleWeb"/>
        <w:spacing w:before="60" w:beforeAutospacing="0" w:after="60"/>
        <w:jc w:val="both"/>
      </w:pPr>
      <w:r>
        <w:rPr>
          <w:rFonts w:ascii="Verdana" w:hAnsi="Verdana"/>
          <w:sz w:val="15"/>
          <w:szCs w:val="15"/>
        </w:rPr>
        <w:t>Il testo è stato quindi sottoposto al preventivo parere dell’Organismo Indipendente di Valutazione, che si è espresso in senso favorevole, e quindi approvato dall’Ente con il presente Piano di cui costituisce una specifica sezione.</w:t>
      </w:r>
    </w:p>
    <w:p w14:paraId="1667A359" w14:textId="77777777" w:rsidR="00FD2DBC" w:rsidRDefault="00FD2DBC" w:rsidP="00FD2DBC">
      <w:pPr>
        <w:pStyle w:val="NormaleWeb"/>
        <w:spacing w:before="60" w:beforeAutospacing="0" w:after="60"/>
        <w:jc w:val="both"/>
      </w:pPr>
      <w:r>
        <w:rPr>
          <w:sz w:val="15"/>
          <w:szCs w:val="15"/>
        </w:rPr>
        <w:t> </w:t>
      </w:r>
    </w:p>
    <w:p w14:paraId="20F24AC7" w14:textId="77777777" w:rsidR="00FD2DBC" w:rsidRDefault="00FD2DBC" w:rsidP="00FD2DBC">
      <w:pPr>
        <w:pStyle w:val="NormaleWeb"/>
        <w:spacing w:before="60" w:beforeAutospacing="0" w:after="60"/>
        <w:jc w:val="both"/>
      </w:pPr>
      <w:r>
        <w:rPr>
          <w:rStyle w:val="Enfasigrassetto"/>
          <w:rFonts w:ascii="Verdana" w:hAnsi="Verdana"/>
          <w:sz w:val="27"/>
          <w:szCs w:val="27"/>
        </w:rPr>
        <w:t>6. Trasparenza</w:t>
      </w:r>
    </w:p>
    <w:p w14:paraId="0A2B65AD" w14:textId="77777777" w:rsidR="00FD2DBC" w:rsidRDefault="00FD2DBC" w:rsidP="00FD2DBC">
      <w:pPr>
        <w:pStyle w:val="NormaleWeb"/>
        <w:spacing w:before="60" w:beforeAutospacing="0" w:after="60"/>
        <w:jc w:val="both"/>
      </w:pPr>
      <w:r>
        <w:rPr>
          <w:rFonts w:ascii="Verdana" w:hAnsi="Verdana"/>
          <w:sz w:val="15"/>
          <w:szCs w:val="15"/>
        </w:rPr>
        <w:t>La trasparenza rappresenta uno strumento fondamentale per la prevenzione della corruzione e l'efficacia dell'azione amministrativa.</w:t>
      </w:r>
    </w:p>
    <w:p w14:paraId="3DE845DC" w14:textId="77777777" w:rsidR="00FD2DBC" w:rsidRDefault="00FD2DBC" w:rsidP="00FD2DBC">
      <w:pPr>
        <w:pStyle w:val="NormaleWeb"/>
        <w:spacing w:before="60" w:beforeAutospacing="0" w:after="60"/>
        <w:jc w:val="both"/>
      </w:pPr>
      <w:r>
        <w:rPr>
          <w:rFonts w:ascii="Verdana" w:hAnsi="Verdana"/>
          <w:sz w:val="15"/>
          <w:szCs w:val="15"/>
        </w:rPr>
        <w:t>La trasparenza è lo strumento fondamentale per un controllo diffuso da parte dei cittadini dell'attività amministrativa, nonché elemento portante dell'azione di prevenzione della corruzione e della inadeguata (mala) amministrazione.</w:t>
      </w:r>
    </w:p>
    <w:p w14:paraId="12CCE29D" w14:textId="77777777" w:rsidR="00FD2DBC" w:rsidRDefault="00FD2DBC" w:rsidP="00FD2DBC">
      <w:pPr>
        <w:pStyle w:val="NormaleWeb"/>
        <w:spacing w:before="60" w:beforeAutospacing="0" w:after="60"/>
        <w:jc w:val="both"/>
      </w:pPr>
      <w:r>
        <w:rPr>
          <w:rFonts w:ascii="Verdana" w:hAnsi="Verdana"/>
          <w:sz w:val="15"/>
          <w:szCs w:val="15"/>
        </w:rPr>
        <w:t xml:space="preserve">Essa è stata oggetto di riordino normativo per mezzo del decreto legislativo 14 marzo 2003, n. 33, che la definisce </w:t>
      </w:r>
      <w:r>
        <w:rPr>
          <w:rStyle w:val="Enfasicorsivo"/>
          <w:rFonts w:ascii="Verdana" w:hAnsi="Verdana"/>
          <w:sz w:val="15"/>
          <w:szCs w:val="15"/>
        </w:rPr>
        <w:t>"accessibilità totale delle informazioni concernenti l'organizzazione e l'attività delle pubbliche amministrazioni, allo scopo di favorire forme diffuse di controllo sul perseguimento delle funzioni istituzionali e delle risorse pubbliche". Il decreto, rubricato “Riordino della disciplina riguardante gli obblighi di pubblicità, trasparenza e diffusione delle informazioni delle pubbliche amministrazioni”, è stato emanato in attuazione della delega contenuta nella legge 6 novembre 2012, n. 190, "Disposizioni per la prevenzione e la repressione della corruzione e dell’illegalità nella pubblica amministrazione”</w:t>
      </w:r>
      <w:r>
        <w:rPr>
          <w:rFonts w:ascii="Verdana" w:hAnsi="Verdana"/>
          <w:sz w:val="15"/>
          <w:szCs w:val="15"/>
        </w:rPr>
        <w:t>.</w:t>
      </w:r>
    </w:p>
    <w:p w14:paraId="591E64C5" w14:textId="77777777" w:rsidR="00FD2DBC" w:rsidRDefault="00FD2DBC" w:rsidP="00FD2DBC">
      <w:pPr>
        <w:pStyle w:val="NormaleWeb"/>
        <w:spacing w:before="60" w:beforeAutospacing="0" w:after="60"/>
        <w:jc w:val="both"/>
      </w:pPr>
      <w:r>
        <w:rPr>
          <w:rFonts w:ascii="Verdana" w:hAnsi="Verdana"/>
          <w:sz w:val="15"/>
          <w:szCs w:val="15"/>
        </w:rPr>
        <w:t>Il nuovo assetto normativo riordina e semplifica i numerosi adempimenti già in vigore, a partire da quelli oggetto del D.Lgs. n. 150/2009, ma soprattutto fornisce un quadro giuridico utile a costruire un sistema di trasparenza effettivo e costantemente aggiornato. Il decreto legislativo n. 33/2013 lega il principio di trasparenza a quello democratico e ai capisaldi costituzionali di eguaglianza, imparzialità, buon andamento, responsabilità, efficacia ed efficienza nell'utilizzo di risorse pubbliche, integrità e lealtà nel servizio della nazione (art. 1, comma 2).</w:t>
      </w:r>
    </w:p>
    <w:p w14:paraId="7E0CBB32" w14:textId="77777777" w:rsidR="00FD2DBC" w:rsidRDefault="00FD2DBC" w:rsidP="00FD2DBC">
      <w:pPr>
        <w:pStyle w:val="NormaleWeb"/>
        <w:spacing w:before="60" w:beforeAutospacing="0" w:after="60"/>
        <w:jc w:val="both"/>
      </w:pPr>
      <w:r>
        <w:rPr>
          <w:rFonts w:ascii="Verdana" w:hAnsi="Verdana"/>
          <w:sz w:val="15"/>
          <w:szCs w:val="15"/>
        </w:rPr>
        <w:t>Si tratta di misure che costituiscono il livello essenziale delle prestazioni erogate dalle amministrazioni pubbliche, con il fine ultimo di prevenire fenomeni di corruzione, illegalità e cattiva amministrazione.</w:t>
      </w:r>
    </w:p>
    <w:p w14:paraId="49766101" w14:textId="77777777" w:rsidR="00FD2DBC" w:rsidRDefault="00FD2DBC" w:rsidP="00FD2DBC">
      <w:pPr>
        <w:pStyle w:val="NormaleWeb"/>
        <w:spacing w:before="60" w:beforeAutospacing="0" w:after="60"/>
        <w:jc w:val="both"/>
      </w:pPr>
      <w:r>
        <w:rPr>
          <w:rFonts w:ascii="Verdana" w:hAnsi="Verdana"/>
          <w:sz w:val="15"/>
          <w:szCs w:val="15"/>
        </w:rPr>
        <w:t>La pubblicità totale dei dati e delle informazioni individuate dal decreto, nei limiti previsti dallo stesso con particolare riferimento al trattamento dei dati personali, costituisce oggetto del diritto di accesso civico, che pone in capo a ogni cittadino la facoltà di richiedere i medesimi dati senza alcuna ulteriore legittimazione (si specifica che l’accesso civico generalizzato si riferisce solo a quei dati che l’amministrazione ha l’obbligo di pubblicare e che invece non ha pubblicato).</w:t>
      </w:r>
    </w:p>
    <w:p w14:paraId="5D74364F" w14:textId="77777777" w:rsidR="00FD2DBC" w:rsidRDefault="00FD2DBC" w:rsidP="00FD2DBC">
      <w:pPr>
        <w:pStyle w:val="NormaleWeb"/>
        <w:spacing w:before="60" w:beforeAutospacing="0" w:after="60"/>
        <w:jc w:val="both"/>
      </w:pPr>
      <w:r>
        <w:rPr>
          <w:rFonts w:ascii="Verdana" w:hAnsi="Verdana"/>
          <w:sz w:val="15"/>
          <w:szCs w:val="15"/>
        </w:rPr>
        <w:t>Il nuovo quadro normativo consente di costruire un insieme di dati e documenti conoscibili da chiunque, che ogni amministrazione deve pubblicare nei modi e nei tempi previsti dalla norma, sul proprio sito Internet.</w:t>
      </w:r>
    </w:p>
    <w:p w14:paraId="4E545176" w14:textId="77777777" w:rsidR="00FD2DBC" w:rsidRDefault="00FD2DBC" w:rsidP="00FD2DBC">
      <w:pPr>
        <w:pStyle w:val="NormaleWeb"/>
        <w:spacing w:before="60" w:beforeAutospacing="0" w:after="60"/>
        <w:jc w:val="both"/>
      </w:pPr>
      <w:r>
        <w:rPr>
          <w:rFonts w:ascii="Verdana" w:hAnsi="Verdana"/>
          <w:sz w:val="15"/>
          <w:szCs w:val="15"/>
        </w:rPr>
        <w:t>Per le ragioni fin qui espresse, è evidente che l'attuazione puntuale dei doveri di trasparenza diventa oggi elemento essenziale e parte integrante di ogni procedimento amministrativo e coinvolge direttamente ogni ufficio dell'amministrazione, al fine di rendere l'intera attività dell’ente conoscibile e valutabile dagli organi preposti e, non ultimo, dalla cittadinanza.</w:t>
      </w:r>
    </w:p>
    <w:p w14:paraId="13C5F0C4" w14:textId="77777777" w:rsidR="00FD2DBC" w:rsidRDefault="00FD2DBC" w:rsidP="00FD2DBC">
      <w:pPr>
        <w:pStyle w:val="NormaleWeb"/>
        <w:spacing w:before="60" w:beforeAutospacing="0" w:after="60"/>
        <w:jc w:val="both"/>
      </w:pPr>
      <w:r>
        <w:rPr>
          <w:rFonts w:ascii="Verdana" w:hAnsi="Verdana"/>
          <w:sz w:val="15"/>
          <w:szCs w:val="15"/>
        </w:rPr>
        <w:t>Il presente contenuto trae origine delle linee guida fornite dalla Commissione per la valutazione, la trasparenza e l'integrità delle amministrazioni pubbliche (CIVIT ora A.N.AC) e descrive le fasi di gestione interna attraverso cui l'Ente mette in atto la trasparenza.</w:t>
      </w:r>
    </w:p>
    <w:p w14:paraId="2BB23AF6" w14:textId="77777777" w:rsidR="00FD2DBC" w:rsidRDefault="00FD2DBC" w:rsidP="00FD2DBC">
      <w:pPr>
        <w:pStyle w:val="NormaleWeb"/>
        <w:spacing w:before="60" w:beforeAutospacing="0" w:after="60"/>
        <w:jc w:val="both"/>
      </w:pPr>
      <w:r>
        <w:rPr>
          <w:rFonts w:ascii="Verdana" w:hAnsi="Verdana"/>
          <w:sz w:val="15"/>
          <w:szCs w:val="15"/>
        </w:rPr>
        <w:t>Vi sono descritte le azioni che hanno portato all'adozione dello stesso, le iniziative di comunicazione e infine le misure organizzative volte ad assicurare la regolarità e la tempestività dei flussi informativi e in generale l’adeguatezza dell’organizzazione interna agli adempimenti previsti dalla legge.</w:t>
      </w:r>
    </w:p>
    <w:p w14:paraId="6F8CCC33" w14:textId="77777777" w:rsidR="00FD2DBC" w:rsidRDefault="00FD2DBC" w:rsidP="00FD2DBC">
      <w:pPr>
        <w:pStyle w:val="NormaleWeb"/>
        <w:spacing w:before="60" w:beforeAutospacing="0" w:after="60"/>
        <w:jc w:val="both"/>
      </w:pPr>
      <w:r>
        <w:rPr>
          <w:rFonts w:ascii="Verdana" w:hAnsi="Verdana"/>
          <w:sz w:val="15"/>
          <w:szCs w:val="15"/>
        </w:rPr>
        <w:t>Le indicazioni contenute nel presente piano mirano inoltre a definire il quadro essenziale degli adempimenti anche in riferimento alle misure tecnologiche fondamentali per un'efficace pubblicazione, che in attuazione del principio democratico rispetti effettivamente le qualità necessarie per una fruizione completa e non discriminatoria dei dati attraverso il web.</w:t>
      </w:r>
    </w:p>
    <w:p w14:paraId="0782C2C2" w14:textId="77777777" w:rsidR="00FD2DBC" w:rsidRDefault="00FD2DBC" w:rsidP="00FD2DBC">
      <w:pPr>
        <w:pStyle w:val="NormaleWeb"/>
        <w:spacing w:before="60" w:beforeAutospacing="0" w:after="60"/>
        <w:jc w:val="both"/>
      </w:pPr>
      <w:r>
        <w:rPr>
          <w:rFonts w:ascii="Verdana" w:hAnsi="Verdana"/>
          <w:sz w:val="15"/>
          <w:szCs w:val="15"/>
        </w:rPr>
        <w:t>Per tutti questi motivi l'ente, assumendo la responsabilità dell’ente autonomo e titolare degli interessi generali della collettività locale, nei confronti della propria popolazione e degli altri fruitori del territorio, da una parte opererà con un giusto bilanciamento del tempo dedicato alla pubblicazione dei dati e dei documenti e del tempo dedicato alla produzione di servizi reali ai cittadini e alle imprese e, dall’altra parte, assumerà iniziative che vanno oltre ai burocratici dettami della norma, per trasformare anche le attività finalizzate alla trasparenza in servizio reale ai cittadini, alle imprese e ai fruitori del territorio.</w:t>
      </w:r>
    </w:p>
    <w:p w14:paraId="3E763444" w14:textId="77777777" w:rsidR="00FD2DBC" w:rsidRDefault="00FD2DBC" w:rsidP="00FD2DBC">
      <w:pPr>
        <w:pStyle w:val="NormaleWeb"/>
        <w:spacing w:before="60" w:beforeAutospacing="0" w:after="60"/>
        <w:jc w:val="both"/>
      </w:pPr>
      <w:r>
        <w:rPr>
          <w:rFonts w:ascii="Verdana" w:hAnsi="Verdana"/>
          <w:sz w:val="15"/>
          <w:szCs w:val="15"/>
        </w:rPr>
        <w:t xml:space="preserve">La principale fonte normativa per la stesura dei contenuti in materia di Trasparenza, come detto, è il Decreto Legislativo 14 marzo 2013 n. 33 recante </w:t>
      </w:r>
      <w:r>
        <w:rPr>
          <w:rStyle w:val="Enfasicorsivo"/>
          <w:rFonts w:ascii="Verdana" w:hAnsi="Verdana"/>
          <w:sz w:val="15"/>
          <w:szCs w:val="15"/>
        </w:rPr>
        <w:t>“Riordino della disciplina riguardante gli obblighi di pubblicità, trasparenza e diffusione di informazioni da parte delle pubbliche amministrazioni”. Tale Decreto è stato adottato in attuazione della delega contenuta nella Legge 6 novembre 2012, n. 190, “Disposizioni per la prevenzione e la repressione della corruzione e dell’illegalità nella pubblica amministrazione”</w:t>
      </w:r>
      <w:r>
        <w:rPr>
          <w:rFonts w:ascii="Verdana" w:hAnsi="Verdana"/>
          <w:sz w:val="15"/>
          <w:szCs w:val="15"/>
        </w:rPr>
        <w:t>, che ha fatto del principio di trasparenza uno degli assi portanti delle politiche di prevenzione della corruzione.</w:t>
      </w:r>
    </w:p>
    <w:p w14:paraId="57BFD97C" w14:textId="77777777" w:rsidR="00FD2DBC" w:rsidRDefault="00FD2DBC" w:rsidP="00FD2DBC">
      <w:pPr>
        <w:pStyle w:val="NormaleWeb"/>
        <w:spacing w:before="60" w:beforeAutospacing="0" w:after="60"/>
        <w:jc w:val="both"/>
      </w:pPr>
      <w:r>
        <w:rPr>
          <w:rFonts w:ascii="Verdana" w:hAnsi="Verdana"/>
          <w:sz w:val="15"/>
          <w:szCs w:val="15"/>
        </w:rPr>
        <w:t> </w:t>
      </w:r>
    </w:p>
    <w:p w14:paraId="76076081" w14:textId="77777777" w:rsidR="00FD2DBC" w:rsidRDefault="00FD2DBC" w:rsidP="00FD2DBC">
      <w:pPr>
        <w:pStyle w:val="NormaleWeb"/>
        <w:spacing w:before="60" w:beforeAutospacing="0" w:after="60"/>
        <w:jc w:val="both"/>
      </w:pPr>
      <w:r>
        <w:rPr>
          <w:rFonts w:ascii="Verdana" w:hAnsi="Verdana"/>
          <w:sz w:val="15"/>
          <w:szCs w:val="15"/>
        </w:rPr>
        <w:t xml:space="preserve">Il D. Lgs 97/2016 nel modificare il D.Lgs 33/2013 e la L. 190/2012 ha soppresso il riferimento esplicito al Programma triennale per la trasparenza e l’integrità prevedendo che ogni amministrazione in un’apposita sezione del P.T.P.C.T. individui le soluzioni organizzative </w:t>
      </w:r>
      <w:r>
        <w:rPr>
          <w:rFonts w:ascii="Verdana" w:hAnsi="Verdana"/>
          <w:sz w:val="15"/>
          <w:szCs w:val="15"/>
        </w:rPr>
        <w:lastRenderedPageBreak/>
        <w:t>idonee ad assicurare l’adempimento degli obblighi di pubblicazione di dati e informazioni previsti dalla normativa vigente e soprattutto indichi i responsabili della trasmissione e della pubblicazione dei documenti, delle informazioni e dei dati di cui al D.Lgs 33/2013.</w:t>
      </w:r>
    </w:p>
    <w:p w14:paraId="140E3BBD" w14:textId="77777777" w:rsidR="00FD2DBC" w:rsidRDefault="00FD2DBC" w:rsidP="00FD2DBC">
      <w:pPr>
        <w:pStyle w:val="NormaleWeb"/>
        <w:spacing w:before="60" w:beforeAutospacing="0" w:after="60"/>
        <w:jc w:val="both"/>
      </w:pPr>
      <w:r>
        <w:rPr>
          <w:rFonts w:ascii="Verdana" w:hAnsi="Verdana"/>
          <w:sz w:val="15"/>
          <w:szCs w:val="15"/>
        </w:rPr>
        <w:t>I soggetti individuati come responsabili della trasmissione dei documenti, delle informazioni e dei dati che dovranno essere pubblicati nell'Area "Amministrazione Trasparente" sono individuati nella tabella di seguito riportata:</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8"/>
      </w:tblGrid>
      <w:tr w:rsidR="00FD2DBC" w14:paraId="5553947D" w14:textId="77777777">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01167357" w14:textId="77777777" w:rsidR="00FD2DBC" w:rsidRDefault="00FD2DBC" w:rsidP="00FD2DBC">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Responsabili trasmissione dati, documenti, informazioni</w:t>
            </w:r>
          </w:p>
        </w:tc>
      </w:tr>
      <w:tr w:rsidR="00FD2DBC" w14:paraId="47D263E2" w14:textId="77777777">
        <w:trPr>
          <w:jc w:val="center"/>
        </w:trPr>
        <w:tc>
          <w:tcPr>
            <w:tcW w:w="0" w:type="auto"/>
            <w:vAlign w:val="center"/>
            <w:hideMark/>
          </w:tcPr>
          <w:p w14:paraId="02746EFC" w14:textId="77777777" w:rsidR="00FD2DBC" w:rsidRDefault="00FD2DBC" w:rsidP="00FD2DBC">
            <w:pPr>
              <w:spacing w:before="60" w:after="60" w:line="240" w:lineRule="auto"/>
              <w:rPr>
                <w:rFonts w:ascii="Verdana" w:eastAsiaTheme="minorEastAsia" w:hAnsi="Verdana"/>
                <w:sz w:val="11"/>
                <w:szCs w:val="11"/>
              </w:rPr>
            </w:pPr>
            <w:r>
              <w:rPr>
                <w:rFonts w:ascii="Verdana" w:hAnsi="Verdana"/>
                <w:sz w:val="11"/>
                <w:szCs w:val="11"/>
              </w:rPr>
              <w:t>Non è prevista questa tipologia di dati/informazione</w:t>
            </w:r>
          </w:p>
        </w:tc>
      </w:tr>
    </w:tbl>
    <w:p w14:paraId="6D4EA0A1" w14:textId="77777777" w:rsidR="00FD2DBC" w:rsidRDefault="00FD2DBC" w:rsidP="00FD2DBC">
      <w:pPr>
        <w:pStyle w:val="NormaleWeb"/>
        <w:spacing w:before="60" w:beforeAutospacing="0" w:after="60"/>
        <w:jc w:val="both"/>
      </w:pPr>
      <w:r>
        <w:rPr>
          <w:rFonts w:ascii="Verdana" w:hAnsi="Verdana"/>
          <w:sz w:val="15"/>
          <w:szCs w:val="15"/>
        </w:rPr>
        <w:t>I soggetti individuati come responsabili della pubblicazione dei documenti, delle informazioni e dei dati che dovranno essere pubblicati nell'Area "Amministrazione Trasparente" sono individuati nella tabella di seguito riportata:</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8"/>
      </w:tblGrid>
      <w:tr w:rsidR="00FD2DBC" w14:paraId="377C4C6D" w14:textId="77777777">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7C7534EC" w14:textId="77777777" w:rsidR="00FD2DBC" w:rsidRDefault="00FD2DBC" w:rsidP="00FD2DBC">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Responsabili pubblicazione dati, documenti, informazioni</w:t>
            </w:r>
          </w:p>
        </w:tc>
      </w:tr>
      <w:tr w:rsidR="00FD2DBC" w14:paraId="53A74AE0" w14:textId="77777777">
        <w:trPr>
          <w:jc w:val="center"/>
        </w:trPr>
        <w:tc>
          <w:tcPr>
            <w:tcW w:w="0" w:type="auto"/>
            <w:vAlign w:val="center"/>
            <w:hideMark/>
          </w:tcPr>
          <w:p w14:paraId="368CD3D4" w14:textId="77777777" w:rsidR="00FD2DBC" w:rsidRDefault="00FD2DBC" w:rsidP="00FD2DBC">
            <w:pPr>
              <w:spacing w:before="60" w:after="60" w:line="240" w:lineRule="auto"/>
              <w:rPr>
                <w:rFonts w:ascii="Verdana" w:eastAsiaTheme="minorEastAsia" w:hAnsi="Verdana"/>
                <w:sz w:val="11"/>
                <w:szCs w:val="11"/>
              </w:rPr>
            </w:pPr>
            <w:r>
              <w:rPr>
                <w:rFonts w:ascii="Verdana" w:hAnsi="Verdana"/>
                <w:sz w:val="11"/>
                <w:szCs w:val="11"/>
              </w:rPr>
              <w:t>Non è prevista questa tipologia di dati/informazione</w:t>
            </w:r>
          </w:p>
        </w:tc>
      </w:tr>
    </w:tbl>
    <w:p w14:paraId="53F04B91" w14:textId="77777777" w:rsidR="00FD2DBC" w:rsidRDefault="00FD2DBC" w:rsidP="00FD2DBC">
      <w:pPr>
        <w:pStyle w:val="NormaleWeb"/>
        <w:spacing w:before="60" w:beforeAutospacing="0" w:after="60"/>
        <w:jc w:val="center"/>
      </w:pPr>
      <w:r>
        <w:rPr>
          <w:rFonts w:ascii="Verdana" w:hAnsi="Verdana"/>
          <w:sz w:val="15"/>
          <w:szCs w:val="15"/>
        </w:rPr>
        <w:t> </w:t>
      </w:r>
    </w:p>
    <w:p w14:paraId="448FCB7F" w14:textId="77777777" w:rsidR="00FD2DBC" w:rsidRDefault="00FD2DBC" w:rsidP="00FD2DBC">
      <w:pPr>
        <w:pStyle w:val="NormaleWeb"/>
        <w:spacing w:before="60" w:beforeAutospacing="0" w:after="60"/>
        <w:jc w:val="both"/>
      </w:pPr>
      <w:r>
        <w:rPr>
          <w:rFonts w:ascii="Verdana" w:hAnsi="Verdana"/>
          <w:sz w:val="15"/>
          <w:szCs w:val="15"/>
        </w:rPr>
        <w:t xml:space="preserve">Il quadro normativo di riferimento può essere sintetizzato nel modo seguente: </w:t>
      </w:r>
    </w:p>
    <w:p w14:paraId="5B7EAE76" w14:textId="77777777" w:rsidR="00FD2DBC" w:rsidRDefault="00FD2DBC" w:rsidP="00FD2DBC">
      <w:pPr>
        <w:pStyle w:val="NormaleWeb"/>
        <w:spacing w:before="60" w:beforeAutospacing="0" w:after="60"/>
        <w:jc w:val="both"/>
      </w:pPr>
      <w:r>
        <w:rPr>
          <w:rFonts w:ascii="Verdana" w:hAnsi="Verdana"/>
          <w:sz w:val="15"/>
          <w:szCs w:val="15"/>
        </w:rPr>
        <w:t xml:space="preserve">-Legge 7 agosto 1990, n. 241, recante “Nuove norme in materia di procedimento amministrativo e di diritto di accesso ai documenti amministrativi” e ss.mm.ii. </w:t>
      </w:r>
    </w:p>
    <w:p w14:paraId="25F7D137" w14:textId="77777777" w:rsidR="00FD2DBC" w:rsidRDefault="00FD2DBC" w:rsidP="00FD2DBC">
      <w:pPr>
        <w:pStyle w:val="NormaleWeb"/>
        <w:spacing w:before="60" w:beforeAutospacing="0" w:after="60"/>
        <w:jc w:val="both"/>
      </w:pPr>
      <w:r>
        <w:rPr>
          <w:rFonts w:ascii="Verdana" w:hAnsi="Verdana"/>
          <w:sz w:val="15"/>
          <w:szCs w:val="15"/>
        </w:rPr>
        <w:t xml:space="preserve">-D.Lgs. 7 marzo 2005, n. 82, recante “Codice dell’amministrazione digitale”; </w:t>
      </w:r>
    </w:p>
    <w:p w14:paraId="2F21F77C" w14:textId="77777777" w:rsidR="00FD2DBC" w:rsidRDefault="00FD2DBC" w:rsidP="00FD2DBC">
      <w:pPr>
        <w:pStyle w:val="NormaleWeb"/>
        <w:spacing w:before="60" w:beforeAutospacing="0" w:after="60"/>
        <w:jc w:val="both"/>
      </w:pPr>
      <w:r>
        <w:rPr>
          <w:rFonts w:ascii="Verdana" w:hAnsi="Verdana"/>
          <w:sz w:val="15"/>
          <w:szCs w:val="15"/>
        </w:rPr>
        <w:t xml:space="preserve">-Legge 18 giugno 2009, n. 69 “Disposizioni per lo sviluppo economico, la semplificazione, la competitività nonché in materia di processo civile”; </w:t>
      </w:r>
    </w:p>
    <w:p w14:paraId="452014FB" w14:textId="77777777" w:rsidR="00FD2DBC" w:rsidRDefault="00FD2DBC" w:rsidP="00FD2DBC">
      <w:pPr>
        <w:pStyle w:val="NormaleWeb"/>
        <w:spacing w:before="60" w:beforeAutospacing="0" w:after="60"/>
        <w:jc w:val="both"/>
      </w:pPr>
      <w:r>
        <w:rPr>
          <w:rFonts w:ascii="Verdana" w:hAnsi="Verdana"/>
          <w:sz w:val="15"/>
          <w:szCs w:val="15"/>
        </w:rPr>
        <w:t xml:space="preserve">-D.Lgs. 22 ottobre 2009, n. 150 avente ad oggetto “Attuazione della legge 4 marzo 2009, n. 15, in materia di ottimizzazione della produttività del lavoro pubblico e di efficienza e trasparenza delle pubbliche amministrazioni” ed in particolare il comma 8 dell’articolo 11; </w:t>
      </w:r>
    </w:p>
    <w:p w14:paraId="7AD1BF37" w14:textId="77777777" w:rsidR="00FD2DBC" w:rsidRDefault="00FD2DBC" w:rsidP="00FD2DBC">
      <w:pPr>
        <w:pStyle w:val="NormaleWeb"/>
        <w:spacing w:before="60" w:beforeAutospacing="0" w:after="60"/>
        <w:jc w:val="both"/>
      </w:pPr>
      <w:r>
        <w:rPr>
          <w:rFonts w:ascii="Verdana" w:hAnsi="Verdana"/>
          <w:sz w:val="15"/>
          <w:szCs w:val="15"/>
        </w:rPr>
        <w:t xml:space="preserve">-Delibera del Garante per la protezione dei dati personali del 2 marzo 2011 “Linee guida in materia di trattamento dei dati personali contenuti anche in atti e documenti amministrativi, effettuato da soggetti pubblici per finalità di pubblicazione e diffusione sul web”; </w:t>
      </w:r>
    </w:p>
    <w:p w14:paraId="5BA19F9C" w14:textId="77777777" w:rsidR="00FD2DBC" w:rsidRDefault="00FD2DBC" w:rsidP="00FD2DBC">
      <w:pPr>
        <w:pStyle w:val="NormaleWeb"/>
        <w:spacing w:before="60" w:beforeAutospacing="0" w:after="60"/>
        <w:jc w:val="both"/>
      </w:pPr>
      <w:r>
        <w:rPr>
          <w:rFonts w:ascii="Verdana" w:hAnsi="Verdana"/>
          <w:sz w:val="15"/>
          <w:szCs w:val="15"/>
        </w:rPr>
        <w:t>-Legge 6 novembre 2012, n. 190 “Disposizioni per la prevenzione e la repressione della corruzione e dell’illegalità nella pubblica amministrazione” ed in particolare i commi 35 e 36 dell’articolo 1;</w:t>
      </w:r>
    </w:p>
    <w:p w14:paraId="6274FC9C" w14:textId="77777777" w:rsidR="00FD2DBC" w:rsidRDefault="00FD2DBC" w:rsidP="00FD2DBC">
      <w:pPr>
        <w:pStyle w:val="NormaleWeb"/>
        <w:spacing w:before="60" w:beforeAutospacing="0" w:after="60"/>
        <w:jc w:val="both"/>
      </w:pPr>
      <w:r>
        <w:rPr>
          <w:rFonts w:ascii="Verdana" w:hAnsi="Verdana"/>
          <w:sz w:val="15"/>
          <w:szCs w:val="15"/>
        </w:rPr>
        <w:t>-D.Lgs. 14 marzo 2013, n. 33 avente ad oggetto “Riordino della disciplina riguardante gli obblighi di pubblicità, trasparenza e diffusione di informazioni da parte delle pubbliche amministrazioni.”;</w:t>
      </w:r>
    </w:p>
    <w:p w14:paraId="3D0BDDD0" w14:textId="77777777" w:rsidR="00FD2DBC" w:rsidRDefault="00FD2DBC" w:rsidP="00FD2DBC">
      <w:pPr>
        <w:pStyle w:val="NormaleWeb"/>
        <w:spacing w:before="60" w:beforeAutospacing="0" w:after="60"/>
        <w:jc w:val="both"/>
      </w:pPr>
      <w:r>
        <w:rPr>
          <w:rFonts w:ascii="Verdana" w:hAnsi="Verdana"/>
          <w:sz w:val="15"/>
          <w:szCs w:val="15"/>
        </w:rPr>
        <w:t>-Delibera della Commissione per la valutazione, la trasparenza e l’integrità delle amministrazioni pubbliche (CIVIT) n. 105/2010 approvata nella seduta del 14 ottobre 2010 “Linee guida per la predisposizione del Programma triennale per la trasparenza e l’integrità”;</w:t>
      </w:r>
    </w:p>
    <w:p w14:paraId="0B49590B" w14:textId="77777777" w:rsidR="00FD2DBC" w:rsidRDefault="00FD2DBC" w:rsidP="00FD2DBC">
      <w:pPr>
        <w:pStyle w:val="NormaleWeb"/>
        <w:spacing w:before="60" w:beforeAutospacing="0" w:after="60"/>
        <w:jc w:val="both"/>
      </w:pPr>
      <w:r>
        <w:rPr>
          <w:rFonts w:ascii="Verdana" w:hAnsi="Verdana"/>
          <w:sz w:val="15"/>
          <w:szCs w:val="15"/>
        </w:rPr>
        <w:t xml:space="preserve">-Delibera della CIVIT n. 2/2012 del 5 gennaio 2012 “Linee guida per il miglioramento della predisposizione e dell’aggiornamento del programma triennale per la trasparenza e l’’integrità”; </w:t>
      </w:r>
    </w:p>
    <w:p w14:paraId="17E9C4BA" w14:textId="77777777" w:rsidR="00FD2DBC" w:rsidRDefault="00FD2DBC" w:rsidP="00FD2DBC">
      <w:pPr>
        <w:pStyle w:val="NormaleWeb"/>
        <w:spacing w:before="60" w:beforeAutospacing="0" w:after="60"/>
        <w:jc w:val="both"/>
      </w:pPr>
      <w:r>
        <w:rPr>
          <w:rFonts w:ascii="Verdana" w:hAnsi="Verdana"/>
          <w:sz w:val="15"/>
          <w:szCs w:val="15"/>
        </w:rPr>
        <w:t xml:space="preserve">-Delibera CIVIT n. 50/2013 del 4 luglio 2013 “Linee guida per l’aggiornamento del Programma triennale per la trasparenza e l’integrità 2014-2016”; </w:t>
      </w:r>
    </w:p>
    <w:p w14:paraId="7E2CE337" w14:textId="77777777" w:rsidR="00FD2DBC" w:rsidRDefault="00FD2DBC" w:rsidP="00FD2DBC">
      <w:pPr>
        <w:pStyle w:val="NormaleWeb"/>
        <w:spacing w:before="60" w:beforeAutospacing="0" w:after="60"/>
        <w:jc w:val="both"/>
      </w:pPr>
      <w:r>
        <w:rPr>
          <w:rFonts w:ascii="Verdana" w:hAnsi="Verdana"/>
          <w:sz w:val="15"/>
          <w:szCs w:val="15"/>
        </w:rPr>
        <w:t>-Circolare del Dipartimento della Funzione Pubblica n. 2 del 17/07/2013 “D.Lgs. n. 33 del 2013 – attuazione della trasparenza”.</w:t>
      </w:r>
    </w:p>
    <w:p w14:paraId="1B15B868" w14:textId="77777777" w:rsidR="00FD2DBC" w:rsidRDefault="00FD2DBC" w:rsidP="00FD2DBC">
      <w:pPr>
        <w:pStyle w:val="NormaleWeb"/>
        <w:spacing w:before="60" w:beforeAutospacing="0" w:after="60"/>
        <w:jc w:val="both"/>
      </w:pPr>
      <w:r>
        <w:rPr>
          <w:rFonts w:ascii="Verdana" w:hAnsi="Verdana"/>
          <w:sz w:val="15"/>
          <w:szCs w:val="15"/>
        </w:rPr>
        <w:t xml:space="preserve">-Delibera CIVIT n. 72 dell’11/09/2013 “Piano Nazionale Anticorruzione” </w:t>
      </w:r>
    </w:p>
    <w:p w14:paraId="2B503856" w14:textId="77777777" w:rsidR="00FD2DBC" w:rsidRDefault="00FD2DBC" w:rsidP="00FD2DBC">
      <w:pPr>
        <w:pStyle w:val="NormaleWeb"/>
        <w:spacing w:before="60" w:beforeAutospacing="0" w:after="60"/>
        <w:jc w:val="both"/>
      </w:pPr>
      <w:r>
        <w:rPr>
          <w:rFonts w:ascii="Verdana" w:hAnsi="Verdana"/>
          <w:sz w:val="15"/>
          <w:szCs w:val="15"/>
        </w:rPr>
        <w:t xml:space="preserve">-Determinazione ANAC n. 12 del 28.10.2015 di aggiornamento 2015 al PNA </w:t>
      </w:r>
    </w:p>
    <w:p w14:paraId="3F8E0AD1" w14:textId="77777777" w:rsidR="00FD2DBC" w:rsidRDefault="00FD2DBC" w:rsidP="00FD2DBC">
      <w:pPr>
        <w:pStyle w:val="NormaleWeb"/>
        <w:spacing w:before="60" w:beforeAutospacing="0" w:after="60"/>
        <w:jc w:val="both"/>
      </w:pPr>
      <w:r>
        <w:rPr>
          <w:rFonts w:ascii="Verdana" w:hAnsi="Verdana"/>
          <w:sz w:val="15"/>
          <w:szCs w:val="15"/>
        </w:rPr>
        <w:t>-Delibera ANAC 831 del 03.08.2016 di approvazione definitiva del PNA 2016</w:t>
      </w:r>
    </w:p>
    <w:p w14:paraId="4741CA05" w14:textId="77777777" w:rsidR="00FD2DBC" w:rsidRDefault="00FD2DBC" w:rsidP="00FD2DBC">
      <w:pPr>
        <w:pStyle w:val="NormaleWeb"/>
        <w:spacing w:before="60" w:beforeAutospacing="0" w:after="60"/>
        <w:jc w:val="both"/>
      </w:pPr>
      <w:r>
        <w:rPr>
          <w:rFonts w:ascii="Verdana" w:hAnsi="Verdana"/>
          <w:sz w:val="15"/>
          <w:szCs w:val="15"/>
        </w:rPr>
        <w:t xml:space="preserve">-D.Lgs 25 maggio 2016 n. 97 avente ad oggetto “Revisione e semplificazione delle disposizioni in materia di prevenzione della corruzione pubblicità e trasparenza correttivo della L. 190/2012 e del D.Lgs 33/2013 ai sensi dell’art. 7 della L. 124/2015 in materia di riorganizzazione delle amministrazioni pubbliche” </w:t>
      </w:r>
    </w:p>
    <w:p w14:paraId="41EFF057" w14:textId="77777777" w:rsidR="00FD2DBC" w:rsidRDefault="00FD2DBC" w:rsidP="00FD2DBC">
      <w:pPr>
        <w:pStyle w:val="NormaleWeb"/>
        <w:spacing w:before="60" w:beforeAutospacing="0" w:after="60"/>
        <w:jc w:val="both"/>
      </w:pPr>
      <w:r>
        <w:rPr>
          <w:rFonts w:ascii="Verdana" w:hAnsi="Verdana"/>
          <w:sz w:val="15"/>
          <w:szCs w:val="15"/>
        </w:rPr>
        <w:t xml:space="preserve">-Linee Guida recanti indicazioni operative ai fini della definizione delle esclusioni e dei limiti all’accesso civico di cui all’art. 5 co. 2 del D.Lgs. 33/2013 – Art. 5-bis, comma 6, del D.Lgs. n. 33 del 14/03/2013 recante “Riordino della disciplina riguardante il diritto di accesso civico e gli obblighi di pubblicità, trasparenza e diffusione di informazioni da parte delle pubbliche amministrazioni”, approvate dall’ANAC con delibera n. 1309 del 28/12/2016 </w:t>
      </w:r>
    </w:p>
    <w:p w14:paraId="2CE4213C" w14:textId="77777777" w:rsidR="00FD2DBC" w:rsidRDefault="00FD2DBC" w:rsidP="00FD2DBC">
      <w:pPr>
        <w:pStyle w:val="NormaleWeb"/>
        <w:spacing w:before="60" w:beforeAutospacing="0" w:after="60"/>
        <w:jc w:val="both"/>
      </w:pPr>
      <w:r>
        <w:rPr>
          <w:rFonts w:ascii="Verdana" w:hAnsi="Verdana"/>
          <w:sz w:val="15"/>
          <w:szCs w:val="15"/>
        </w:rPr>
        <w:t>-Prime Linee guida recanti indicazioni sull’attuazione degli obblighi di pubblicità, trasparenza e diffusione di informazioni contenute nel D.Lgs. 33/2013 come modificato dal D.Lgs. 97/2016, approvate dall’ANAC con delibera n. 1310 del 28/12/2016 </w:t>
      </w:r>
    </w:p>
    <w:p w14:paraId="46DBB64A" w14:textId="77777777" w:rsidR="00FD2DBC" w:rsidRDefault="00FD2DBC" w:rsidP="00FD2DBC">
      <w:pPr>
        <w:pStyle w:val="NormaleWeb"/>
        <w:spacing w:before="60" w:beforeAutospacing="0" w:after="60"/>
        <w:jc w:val="both"/>
      </w:pPr>
      <w:r>
        <w:rPr>
          <w:rFonts w:ascii="Verdana" w:hAnsi="Verdana"/>
          <w:sz w:val="15"/>
          <w:szCs w:val="15"/>
        </w:rPr>
        <w:t>-Legge 124/2015 e relativi decreti attuativi</w:t>
      </w:r>
    </w:p>
    <w:p w14:paraId="75ED1743" w14:textId="77777777" w:rsidR="00FD2DBC" w:rsidRDefault="00FD2DBC" w:rsidP="00FD2DBC">
      <w:pPr>
        <w:pStyle w:val="NormaleWeb"/>
        <w:spacing w:before="60" w:beforeAutospacing="0" w:after="60"/>
        <w:jc w:val="both"/>
      </w:pPr>
      <w:r>
        <w:t> </w:t>
      </w:r>
    </w:p>
    <w:p w14:paraId="23A25223" w14:textId="77777777" w:rsidR="00FD2DBC" w:rsidRDefault="00FD2DBC" w:rsidP="00FD2DBC">
      <w:pPr>
        <w:pStyle w:val="NormaleWeb"/>
        <w:spacing w:before="60" w:beforeAutospacing="0" w:after="60"/>
        <w:jc w:val="both"/>
      </w:pPr>
      <w:r>
        <w:rPr>
          <w:rFonts w:ascii="Verdana" w:hAnsi="Verdana"/>
          <w:sz w:val="15"/>
          <w:szCs w:val="15"/>
          <w:u w:val="single"/>
        </w:rPr>
        <w:t>Obiettivi strategici in materia di trasparenza</w:t>
      </w:r>
    </w:p>
    <w:p w14:paraId="2535D8AA" w14:textId="77777777" w:rsidR="00FD2DBC" w:rsidRDefault="00FD2DBC" w:rsidP="00FD2DBC">
      <w:pPr>
        <w:pStyle w:val="NormaleWeb"/>
        <w:spacing w:before="60" w:beforeAutospacing="0" w:after="60"/>
        <w:jc w:val="both"/>
      </w:pPr>
      <w:r>
        <w:rPr>
          <w:rFonts w:ascii="Verdana" w:hAnsi="Verdana"/>
          <w:sz w:val="15"/>
          <w:szCs w:val="15"/>
        </w:rPr>
        <w:t xml:space="preserve">La trasparenza dell’attività amministrativa è un obiettivo fondamentale dell’amministrazione e viene perseguita dalla totalità degli uffici e dei rispettivi dirigenti responsabili. </w:t>
      </w:r>
    </w:p>
    <w:p w14:paraId="1DC5C455" w14:textId="77777777" w:rsidR="00FD2DBC" w:rsidRDefault="00FD2DBC" w:rsidP="00FD2DBC">
      <w:pPr>
        <w:pStyle w:val="NormaleWeb"/>
        <w:spacing w:before="60" w:beforeAutospacing="0" w:after="60"/>
        <w:jc w:val="both"/>
      </w:pPr>
      <w:r>
        <w:rPr>
          <w:rFonts w:ascii="Verdana" w:hAnsi="Verdana"/>
          <w:sz w:val="15"/>
          <w:szCs w:val="15"/>
        </w:rPr>
        <w:t xml:space="preserve">I responsabili dei singoli uffici sono chiamati a mettere in atto ogni misura organizzativa per favorire la pubblicazione delle informazioni e degli atti in loro possesso, nei modi e nei tempi stabiliti dalla legge. </w:t>
      </w:r>
    </w:p>
    <w:p w14:paraId="4709AACC" w14:textId="77777777" w:rsidR="00FD2DBC" w:rsidRDefault="00FD2DBC" w:rsidP="00FD2DBC">
      <w:pPr>
        <w:pStyle w:val="NormaleWeb"/>
        <w:spacing w:before="60" w:beforeAutospacing="0" w:after="60"/>
        <w:jc w:val="both"/>
      </w:pPr>
      <w:r>
        <w:rPr>
          <w:rFonts w:ascii="Verdana" w:hAnsi="Verdana"/>
          <w:sz w:val="15"/>
          <w:szCs w:val="15"/>
        </w:rPr>
        <w:lastRenderedPageBreak/>
        <w:t>Unitamente alla misurazione dell’effettiva presenza dei dati oggetto di pubblicazione obbligatoria, l’amministrazione si pone come obiettivo primario quello di proseguire nel miglioramento della qualità complessiva del sito Internet, con particolare riferimento ai requisiti di accessibilità e usabilità. </w:t>
      </w:r>
    </w:p>
    <w:p w14:paraId="58EA3D9B" w14:textId="77777777" w:rsidR="00FD2DBC" w:rsidRDefault="00FD2DBC" w:rsidP="00FD2DBC">
      <w:pPr>
        <w:pStyle w:val="NormaleWeb"/>
        <w:spacing w:before="60" w:beforeAutospacing="0" w:after="60"/>
        <w:jc w:val="both"/>
      </w:pPr>
      <w:r>
        <w:rPr>
          <w:rFonts w:ascii="Verdana" w:hAnsi="Verdana"/>
          <w:sz w:val="15"/>
          <w:szCs w:val="15"/>
        </w:rPr>
        <w:t> </w:t>
      </w:r>
    </w:p>
    <w:p w14:paraId="2D4A59EC" w14:textId="77777777" w:rsidR="00FD2DBC" w:rsidRDefault="00FD2DBC" w:rsidP="00FD2DBC">
      <w:pPr>
        <w:pStyle w:val="NormaleWeb"/>
        <w:spacing w:before="60" w:beforeAutospacing="0" w:after="60"/>
        <w:jc w:val="both"/>
      </w:pPr>
      <w:r>
        <w:rPr>
          <w:rFonts w:ascii="Verdana" w:hAnsi="Verdana"/>
          <w:sz w:val="15"/>
          <w:szCs w:val="15"/>
          <w:u w:val="single"/>
        </w:rPr>
        <w:t>Obiettivi strategici in materia di trasparenza e integrità</w:t>
      </w:r>
    </w:p>
    <w:p w14:paraId="18687AD1" w14:textId="77777777" w:rsidR="00FD2DBC" w:rsidRDefault="00FD2DBC" w:rsidP="00FD2DBC">
      <w:pPr>
        <w:pStyle w:val="NormaleWeb"/>
        <w:spacing w:before="60" w:beforeAutospacing="0" w:after="60"/>
        <w:jc w:val="both"/>
      </w:pPr>
      <w:r>
        <w:rPr>
          <w:rFonts w:ascii="Verdana" w:hAnsi="Verdana"/>
          <w:sz w:val="15"/>
          <w:szCs w:val="15"/>
        </w:rPr>
        <w:t>La trasparenza dell’attività amministrativa è un obiettivo fondamentale dell’amministrazione e viene perseguita dalla totalità degli uffici e dai rispettivi Dirigenti. Essa è oggetto di consultazione e confronto di tutti i soggetti interessati.</w:t>
      </w:r>
    </w:p>
    <w:p w14:paraId="7B3C73B9" w14:textId="77777777" w:rsidR="00FD2DBC" w:rsidRDefault="00FD2DBC" w:rsidP="00FD2DBC">
      <w:pPr>
        <w:pStyle w:val="NormaleWeb"/>
        <w:spacing w:before="60" w:beforeAutospacing="0" w:after="60"/>
        <w:jc w:val="both"/>
      </w:pPr>
      <w:r>
        <w:rPr>
          <w:rFonts w:ascii="Verdana" w:hAnsi="Verdana"/>
          <w:sz w:val="15"/>
          <w:szCs w:val="15"/>
        </w:rPr>
        <w:t>I Dirigenti sono chiamati a prendere parte agli incontri ed a mettere in atto ogni misura organizzativa per favorire la pubblicazione delle informazioni e degli atti in loro possesso, nei modi e nei tempi stabiliti dalla legge e secondo le fasi di aggiornamento.</w:t>
      </w:r>
    </w:p>
    <w:p w14:paraId="59306B34" w14:textId="77777777" w:rsidR="00FD2DBC" w:rsidRDefault="00FD2DBC" w:rsidP="00FD2DBC">
      <w:pPr>
        <w:pStyle w:val="NormaleWeb"/>
        <w:spacing w:before="60" w:beforeAutospacing="0" w:after="60"/>
        <w:jc w:val="both"/>
      </w:pPr>
      <w:r>
        <w:rPr>
          <w:rFonts w:ascii="Verdana" w:hAnsi="Verdana"/>
          <w:sz w:val="15"/>
          <w:szCs w:val="15"/>
        </w:rPr>
        <w:t>Le attività di monitoraggio e misurazione della qualità della sezione “Amministrazione trasparente” del sito Internet comunale sono affidate ai Dirigenti, che sono chiamati a darne conto in modo puntuale e secondo le modalità concordate con il Responsabile della trasparenza. Il Responsabile della trasparenza si impegna ad aggiornare annualmente il presente Programma, anche attraverso proposte e segnalazioni raccolte dai Dirigenti. Egli svolge un’azione propulsiva nei confronti dei singoli uffici e servizi dell’amministrazione.</w:t>
      </w:r>
    </w:p>
    <w:p w14:paraId="318D926B" w14:textId="77777777" w:rsidR="00FD2DBC" w:rsidRDefault="00FD2DBC" w:rsidP="00FD2DBC">
      <w:pPr>
        <w:pStyle w:val="NormaleWeb"/>
        <w:spacing w:before="60" w:beforeAutospacing="0" w:after="60"/>
        <w:jc w:val="both"/>
      </w:pPr>
      <w:r>
        <w:rPr>
          <w:rFonts w:ascii="Verdana" w:hAnsi="Verdana"/>
          <w:sz w:val="15"/>
          <w:szCs w:val="15"/>
        </w:rPr>
        <w:t xml:space="preserve">L’obiettivo dell’amministrazione è quello di raggiungere uno standard di rispondenza costantemente pari al 100 per cento entro il primo semestre ____. </w:t>
      </w:r>
    </w:p>
    <w:p w14:paraId="1F36D543" w14:textId="77777777" w:rsidR="00FD2DBC" w:rsidRDefault="00FD2DBC" w:rsidP="00FD2DBC">
      <w:pPr>
        <w:pStyle w:val="NormaleWeb"/>
        <w:spacing w:before="60" w:beforeAutospacing="0" w:after="60"/>
        <w:jc w:val="both"/>
      </w:pPr>
      <w:r>
        <w:rPr>
          <w:rFonts w:ascii="Verdana" w:hAnsi="Verdana"/>
          <w:sz w:val="15"/>
          <w:szCs w:val="15"/>
        </w:rPr>
        <w:t>Unitamente alla misurazione dell’effettiva presenza dei dati oggetto di pubblicazione obbligatoria, l’amministrazione si pone come obiettivo primario quello di migliorare la qualità complessiva del sito Internet, con particolare riferimento ai requisiti di accessibilità e usabilità.</w:t>
      </w:r>
    </w:p>
    <w:p w14:paraId="15A01C45" w14:textId="77777777" w:rsidR="00FD2DBC" w:rsidRDefault="00FD2DBC" w:rsidP="00FD2DBC">
      <w:pPr>
        <w:pStyle w:val="NormaleWeb"/>
        <w:spacing w:before="60" w:beforeAutospacing="0" w:after="60"/>
        <w:jc w:val="both"/>
      </w:pPr>
      <w:r>
        <w:rPr>
          <w:rFonts w:ascii="Verdana" w:hAnsi="Verdana"/>
          <w:sz w:val="15"/>
          <w:szCs w:val="15"/>
        </w:rPr>
        <w:t> </w:t>
      </w:r>
    </w:p>
    <w:p w14:paraId="3A694DFF" w14:textId="77777777" w:rsidR="00FD2DBC" w:rsidRDefault="00FD2DBC" w:rsidP="00FD2DBC">
      <w:pPr>
        <w:pStyle w:val="NormaleWeb"/>
        <w:spacing w:before="60" w:beforeAutospacing="0" w:after="60"/>
        <w:jc w:val="both"/>
      </w:pPr>
      <w:r>
        <w:rPr>
          <w:rFonts w:ascii="Verdana" w:hAnsi="Verdana"/>
          <w:sz w:val="15"/>
          <w:szCs w:val="15"/>
          <w:u w:val="single"/>
        </w:rPr>
        <w:t>I collegamenti con il piano della perfomance o con gli analoghi strumenti di programmazione</w:t>
      </w:r>
    </w:p>
    <w:p w14:paraId="74E1FBB0" w14:textId="77777777" w:rsidR="00FD2DBC" w:rsidRDefault="00FD2DBC" w:rsidP="00FD2DBC">
      <w:pPr>
        <w:pStyle w:val="NormaleWeb"/>
        <w:spacing w:before="60" w:beforeAutospacing="0" w:after="60"/>
        <w:jc w:val="both"/>
      </w:pPr>
      <w:r>
        <w:rPr>
          <w:rFonts w:ascii="Verdana" w:hAnsi="Verdana"/>
          <w:sz w:val="15"/>
          <w:szCs w:val="15"/>
        </w:rPr>
        <w:t xml:space="preserve">La connessione fra gli obiettivi di performance e le misure di trasparenza ha trovato conferma nel d.lgs. 33/2013 così come modificato dal D.Lgs 97/2016, ove si è affermato che la promozione di maggiori livelli di trasparenza costituisce un obiettivo strategico di ogni amministrazione (art. 10). </w:t>
      </w:r>
    </w:p>
    <w:p w14:paraId="1C8176CA" w14:textId="77777777" w:rsidR="00FD2DBC" w:rsidRDefault="00FD2DBC" w:rsidP="00FD2DBC">
      <w:pPr>
        <w:pStyle w:val="NormaleWeb"/>
        <w:spacing w:before="60" w:beforeAutospacing="0" w:after="60"/>
        <w:jc w:val="both"/>
      </w:pPr>
      <w:r>
        <w:rPr>
          <w:rFonts w:ascii="Verdana" w:hAnsi="Verdana"/>
          <w:sz w:val="15"/>
          <w:szCs w:val="15"/>
        </w:rPr>
        <w:t xml:space="preserve">Il piano dettagliato degli obiettivi di cui all’art. 108 comma 1 del D.Lgs 267/2000 e il piano della performance di cui all’art. 10 del D.Lgs 150/2009 risultano unificati organicamente nel PEG e tra gli obiettivi organizzativi ed individuali ivi riportati hanno un posto di rilievo oltre agli obblighi legati all’anticorruzione, le pubblicazioni obbligatorie per legge di pertinenza delle rispettive aree nell'Amministrazione Trasparente, l’implementazione delle varie sottosezioni, l’aggiornamento costante della modulistica ed in definitiva l'inserimento sul sito del maggior numero di informazioni utili. </w:t>
      </w:r>
    </w:p>
    <w:p w14:paraId="2DB6F3EF" w14:textId="77777777" w:rsidR="00FD2DBC" w:rsidRDefault="00FD2DBC" w:rsidP="00FD2DBC">
      <w:pPr>
        <w:pStyle w:val="NormaleWeb"/>
        <w:spacing w:before="60" w:beforeAutospacing="0" w:after="60"/>
        <w:jc w:val="both"/>
      </w:pPr>
      <w:r>
        <w:rPr>
          <w:rFonts w:ascii="Verdana" w:hAnsi="Verdana"/>
          <w:sz w:val="15"/>
          <w:szCs w:val="15"/>
        </w:rPr>
        <w:t>Gli OIV (o gli altri organismi di controllo interno) sono tenuti a verificare la coerenza tra gli obiettivi di trasparenza e quelli indicati nel piano della performance, utilizzando altresì i dati relativi all’attuazione degli obblighi di trasparenza ai fini della valutazione delle performance. L’attività di controllo sull’adempimento degli obblighi di pubblicazione è svolta dal RPCT con il coinvolgimento dell’OIV, al quale vengono segnalati i casi di mancato o ritardato adempimento, restando fermo il compito degli OIV concernente l’attestazione dell’assolvimento degli obblighi di trasparenza, previsto dal D. Lgs. 150/2009.</w:t>
      </w:r>
    </w:p>
    <w:p w14:paraId="5EB8D56A" w14:textId="77777777" w:rsidR="00FD2DBC" w:rsidRDefault="00FD2DBC" w:rsidP="00FD2DBC">
      <w:pPr>
        <w:pStyle w:val="NormaleWeb"/>
        <w:spacing w:before="60" w:beforeAutospacing="0" w:after="60"/>
        <w:jc w:val="both"/>
      </w:pPr>
      <w:r>
        <w:rPr>
          <w:rFonts w:ascii="Verdana" w:hAnsi="Verdana"/>
          <w:sz w:val="15"/>
          <w:szCs w:val="15"/>
        </w:rPr>
        <w:t xml:space="preserve">Gli obiettivi connessi all’anticorruzione e alla trasparenza devono altresì essere coordinati con quelli previsti in altro documento di programmazione strategico gestionale adottato dal comune quale il documento unico di programmazione (DUP), nuovo documento contabile introdotto dal D.lgs. 23 giugno 2011 n. 118, «Disposizioni in materia di armonizzazione dei sistemi contabili e degli schemi di bilancio delle Regioni, degli enti locali e dei loro organismi, a norma degli articoli 1 e 2 della legge 5 maggio 2009, n. 42» (successivamente integrato con il d.lgs. 10 agosto 2014, n. 126). In particolare nel DUP vengono recepiti gli obiettivi strategici in materia di prevenzione della corruzione e di trasparenza contenuti nel PTPC così sintetizzati: </w:t>
      </w:r>
    </w:p>
    <w:p w14:paraId="73E0292F" w14:textId="77777777" w:rsidR="00FD2DBC" w:rsidRDefault="00FD2DBC" w:rsidP="00FD2DBC">
      <w:pPr>
        <w:pStyle w:val="NormaleWeb"/>
        <w:spacing w:before="60" w:beforeAutospacing="0" w:after="60"/>
        <w:jc w:val="both"/>
      </w:pPr>
      <w:r>
        <w:rPr>
          <w:rFonts w:ascii="Verdana" w:hAnsi="Verdana"/>
          <w:sz w:val="15"/>
          <w:szCs w:val="15"/>
        </w:rPr>
        <w:t xml:space="preserve">- ridurre le opportunità che si manifestino casi di corruzione </w:t>
      </w:r>
    </w:p>
    <w:p w14:paraId="7998DC91" w14:textId="77777777" w:rsidR="00FD2DBC" w:rsidRDefault="00FD2DBC" w:rsidP="00FD2DBC">
      <w:pPr>
        <w:pStyle w:val="NormaleWeb"/>
        <w:spacing w:before="60" w:beforeAutospacing="0" w:after="60"/>
        <w:jc w:val="both"/>
      </w:pPr>
      <w:r>
        <w:rPr>
          <w:rFonts w:ascii="Verdana" w:hAnsi="Verdana"/>
          <w:sz w:val="15"/>
          <w:szCs w:val="15"/>
        </w:rPr>
        <w:t xml:space="preserve">- aumentare la capacità di scoprire casi di corruzione </w:t>
      </w:r>
    </w:p>
    <w:p w14:paraId="7852A779" w14:textId="77777777" w:rsidR="00FD2DBC" w:rsidRDefault="00FD2DBC" w:rsidP="00FD2DBC">
      <w:pPr>
        <w:pStyle w:val="NormaleWeb"/>
        <w:spacing w:before="60" w:beforeAutospacing="0" w:after="60"/>
        <w:jc w:val="both"/>
      </w:pPr>
      <w:r>
        <w:rPr>
          <w:rFonts w:ascii="Verdana" w:hAnsi="Verdana"/>
          <w:sz w:val="15"/>
          <w:szCs w:val="15"/>
        </w:rPr>
        <w:t xml:space="preserve">- creare un contesto sfavorevole alla corruzione </w:t>
      </w:r>
    </w:p>
    <w:p w14:paraId="15EFD674" w14:textId="77777777" w:rsidR="00FD2DBC" w:rsidRDefault="00FD2DBC" w:rsidP="00FD2DBC">
      <w:pPr>
        <w:pStyle w:val="NormaleWeb"/>
        <w:spacing w:before="60" w:beforeAutospacing="0" w:after="60"/>
        <w:jc w:val="both"/>
      </w:pPr>
      <w:r>
        <w:rPr>
          <w:rFonts w:ascii="Verdana" w:hAnsi="Verdana"/>
          <w:sz w:val="15"/>
          <w:szCs w:val="15"/>
        </w:rPr>
        <w:t>- promuovere la Trasparenza secondo quanto disciplinato dalla Sezione II del vigente P.T.P.C.T. a cui fanno seguito le misure di prevenzione individuate nel Piano, ed i relativi indicatori di perfomance contenuti nel Piano della perfomance (PEG).  </w:t>
      </w:r>
    </w:p>
    <w:p w14:paraId="2D02DF9B" w14:textId="77777777" w:rsidR="00FD2DBC" w:rsidRDefault="00FD2DBC" w:rsidP="00FD2DBC">
      <w:pPr>
        <w:pStyle w:val="NormaleWeb"/>
        <w:spacing w:before="60" w:beforeAutospacing="0" w:after="60"/>
        <w:jc w:val="both"/>
      </w:pPr>
      <w:r>
        <w:rPr>
          <w:rFonts w:ascii="Verdana" w:hAnsi="Verdana"/>
          <w:sz w:val="15"/>
          <w:szCs w:val="15"/>
        </w:rPr>
        <w:t> </w:t>
      </w:r>
    </w:p>
    <w:p w14:paraId="62491160" w14:textId="77777777" w:rsidR="00FD2DBC" w:rsidRDefault="00FD2DBC" w:rsidP="00FD2DBC">
      <w:pPr>
        <w:pStyle w:val="NormaleWeb"/>
        <w:spacing w:before="60" w:beforeAutospacing="0" w:after="60"/>
        <w:jc w:val="both"/>
      </w:pPr>
      <w:r>
        <w:rPr>
          <w:rFonts w:ascii="Verdana" w:hAnsi="Verdana"/>
          <w:sz w:val="15"/>
          <w:szCs w:val="15"/>
          <w:u w:val="single"/>
        </w:rPr>
        <w:t>Responsabile della trasparenza</w:t>
      </w:r>
    </w:p>
    <w:p w14:paraId="282C8870" w14:textId="77777777" w:rsidR="00FD2DBC" w:rsidRDefault="00FD2DBC" w:rsidP="00FD2DBC">
      <w:pPr>
        <w:pStyle w:val="NormaleWeb"/>
        <w:spacing w:before="60" w:beforeAutospacing="0" w:after="60"/>
        <w:jc w:val="both"/>
      </w:pPr>
      <w:r>
        <w:rPr>
          <w:rFonts w:ascii="Verdana" w:hAnsi="Verdana"/>
          <w:sz w:val="15"/>
          <w:szCs w:val="15"/>
        </w:rPr>
        <w:t>1. Il Responsabile della Trasparenza, che il ruolo sia ricoperto dal medesimo soggetto che funge anche da Responsabile della Prevenzione della Corruzione oppure che sia attributo ad un soggetto diverso, svolge</w:t>
      </w:r>
    </w:p>
    <w:p w14:paraId="4F7AEE21" w14:textId="77777777" w:rsidR="00FD2DBC" w:rsidRDefault="00FD2DBC" w:rsidP="00FD2DBC">
      <w:pPr>
        <w:pStyle w:val="NormaleWeb"/>
        <w:spacing w:before="60" w:beforeAutospacing="0" w:after="60"/>
        <w:jc w:val="both"/>
      </w:pPr>
      <w:r>
        <w:rPr>
          <w:rFonts w:ascii="Verdana" w:hAnsi="Verdana"/>
          <w:sz w:val="15"/>
          <w:szCs w:val="15"/>
        </w:rPr>
        <w:t>-un’attività di controllo sull’attuazione degli obblighi di pubblicazione previsti dalla normativa vigente</w:t>
      </w:r>
    </w:p>
    <w:p w14:paraId="3A0E3FBB" w14:textId="77777777" w:rsidR="00FD2DBC" w:rsidRDefault="00FD2DBC" w:rsidP="00FD2DBC">
      <w:pPr>
        <w:pStyle w:val="NormaleWeb"/>
        <w:spacing w:before="60" w:beforeAutospacing="0" w:after="60"/>
        <w:jc w:val="both"/>
      </w:pPr>
      <w:r>
        <w:rPr>
          <w:rFonts w:ascii="Verdana" w:hAnsi="Verdana"/>
          <w:sz w:val="15"/>
          <w:szCs w:val="15"/>
        </w:rPr>
        <w:t>-un’attività di monitoraggio e misurazione della qualità della sezione “Amministrazione Trasparente” del sito Internet comunale</w:t>
      </w:r>
    </w:p>
    <w:p w14:paraId="4FAFB74F" w14:textId="77777777" w:rsidR="00FD2DBC" w:rsidRDefault="00FD2DBC" w:rsidP="00FD2DBC">
      <w:pPr>
        <w:pStyle w:val="NormaleWeb"/>
        <w:spacing w:before="60" w:beforeAutospacing="0" w:after="60"/>
        <w:jc w:val="both"/>
      </w:pPr>
      <w:r>
        <w:rPr>
          <w:rFonts w:ascii="Verdana" w:hAnsi="Verdana"/>
          <w:sz w:val="15"/>
          <w:szCs w:val="15"/>
        </w:rPr>
        <w:t>-provvede all’aggiornamento della sezione del P.T.P.C.T. che individua le soluzioni organizzative idonee ad assicurare l’adempimento degli obblighi di pubblicazione</w:t>
      </w:r>
    </w:p>
    <w:p w14:paraId="23182B64" w14:textId="77777777" w:rsidR="00FD2DBC" w:rsidRDefault="00FD2DBC" w:rsidP="00FD2DBC">
      <w:pPr>
        <w:pStyle w:val="NormaleWeb"/>
        <w:spacing w:before="60" w:beforeAutospacing="0" w:after="60"/>
        <w:jc w:val="both"/>
      </w:pPr>
      <w:r>
        <w:rPr>
          <w:rFonts w:ascii="Verdana" w:hAnsi="Verdana"/>
          <w:sz w:val="15"/>
          <w:szCs w:val="15"/>
        </w:rPr>
        <w:t>-individua i Responsabili degli obblighi di trasparenza e di pubblicazione degli atti del settore di competenza in relazione alla loro gravità segnala i casi di inadempimento o di adempimento parziale o di ritardo degli obblighi in materia di pubblicazione previsti dalla normativa vigente.</w:t>
      </w:r>
    </w:p>
    <w:p w14:paraId="71455F10" w14:textId="77777777" w:rsidR="00FD2DBC" w:rsidRDefault="00FD2DBC" w:rsidP="00FD2DBC">
      <w:pPr>
        <w:pStyle w:val="NormaleWeb"/>
        <w:spacing w:before="60" w:beforeAutospacing="0" w:after="60"/>
        <w:jc w:val="both"/>
      </w:pPr>
      <w:r>
        <w:rPr>
          <w:rFonts w:ascii="Verdana" w:hAnsi="Verdana"/>
          <w:sz w:val="15"/>
          <w:szCs w:val="15"/>
        </w:rPr>
        <w:lastRenderedPageBreak/>
        <w:t>Il Responsabile della trasparenza ha il compito di vigilare sull’attuazione di tutti gli obblighi previsti dalla normativa, segnalando i casi di mancato o ritardato adempimento al N.T., all’organo di indirizzo politico nonché, nei casi più gravi, all’Autorità Anticorruzione (A.N.A.C.) e all’U.P.D. per l’eventuale attivazione del procedimento disciplinare.</w:t>
      </w:r>
    </w:p>
    <w:p w14:paraId="0D5CCA73" w14:textId="77777777" w:rsidR="00FD2DBC" w:rsidRDefault="00FD2DBC" w:rsidP="00FD2DBC">
      <w:pPr>
        <w:pStyle w:val="NormaleWeb"/>
        <w:spacing w:before="60" w:beforeAutospacing="0" w:after="60"/>
        <w:jc w:val="both"/>
      </w:pPr>
      <w:r>
        <w:rPr>
          <w:rFonts w:ascii="Verdana" w:hAnsi="Verdana"/>
          <w:sz w:val="15"/>
          <w:szCs w:val="15"/>
        </w:rPr>
        <w:t>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responsabili di settore e dei singoli dipendenti comunali.</w:t>
      </w:r>
    </w:p>
    <w:p w14:paraId="3BCF44F7" w14:textId="77777777" w:rsidR="00FD2DBC" w:rsidRDefault="00FD2DBC" w:rsidP="00FD2DBC">
      <w:pPr>
        <w:pStyle w:val="NormaleWeb"/>
        <w:spacing w:before="60" w:beforeAutospacing="0" w:after="60"/>
        <w:jc w:val="both"/>
      </w:pPr>
      <w:r>
        <w:rPr>
          <w:rFonts w:ascii="Verdana" w:hAnsi="Verdana"/>
          <w:sz w:val="15"/>
          <w:szCs w:val="15"/>
        </w:rPr>
        <w:t>Il responsabile non risponde dell’inadempimento se dimostra, per iscritto, al Responsabile della trasparenza, che tale inadempimento è dipeso da causa a lui non imputabile.</w:t>
      </w:r>
    </w:p>
    <w:p w14:paraId="1995917F" w14:textId="77777777" w:rsidR="00FD2DBC" w:rsidRDefault="00FD2DBC" w:rsidP="00FD2DBC">
      <w:pPr>
        <w:pStyle w:val="NormaleWeb"/>
        <w:spacing w:before="60" w:beforeAutospacing="0" w:after="60"/>
        <w:jc w:val="both"/>
      </w:pPr>
      <w:r>
        <w:rPr>
          <w:rFonts w:ascii="Verdana" w:hAnsi="Verdana"/>
          <w:sz w:val="15"/>
          <w:szCs w:val="15"/>
        </w:rPr>
        <w:t>Il N.T. attesta con apposita relazione entro il 31 dicembre di ogni anno l’effettivo assolvimento degli obblighi in materia di trasparenza e integrità ai sensi dell’art. 14 del D.Lgs. n. 150/2009.</w:t>
      </w:r>
    </w:p>
    <w:p w14:paraId="19FB7FD8" w14:textId="77777777" w:rsidR="00FD2DBC" w:rsidRDefault="00FD2DBC" w:rsidP="00FD2DBC">
      <w:pPr>
        <w:pStyle w:val="NormaleWeb"/>
        <w:spacing w:before="60" w:beforeAutospacing="0" w:after="60"/>
        <w:jc w:val="both"/>
      </w:pPr>
      <w:r>
        <w:rPr>
          <w:rFonts w:ascii="Verdana" w:hAnsi="Verdana"/>
          <w:sz w:val="15"/>
          <w:szCs w:val="15"/>
        </w:rPr>
        <w:t>Le sanzioni per le violazioni degli adempimenti in merito alla trasparenza sono quelle previste dal D.lgs. n. 33/2013 e s.m.i., fatte salve sanzioni diverse per la violazione della normativa sul trattamento dei dati personali o dalle normative sulla qualità dei dati pubblicati (Codice dell’amministrazione digitale, legge n. 4/2004).</w:t>
      </w:r>
    </w:p>
    <w:p w14:paraId="6064389D" w14:textId="77777777" w:rsidR="00FD2DBC" w:rsidRDefault="00FD2DBC" w:rsidP="00FD2DBC">
      <w:pPr>
        <w:pStyle w:val="NormaleWeb"/>
        <w:spacing w:before="60" w:beforeAutospacing="0" w:after="60"/>
        <w:jc w:val="both"/>
      </w:pPr>
      <w:r>
        <w:rPr>
          <w:rFonts w:ascii="Verdana" w:hAnsi="Verdana"/>
          <w:sz w:val="15"/>
          <w:szCs w:val="15"/>
        </w:rPr>
        <w:t> </w:t>
      </w:r>
    </w:p>
    <w:p w14:paraId="7FDCD33F" w14:textId="77777777" w:rsidR="00FD2DBC" w:rsidRDefault="00FD2DBC" w:rsidP="00FD2DBC">
      <w:pPr>
        <w:pStyle w:val="NormaleWeb"/>
        <w:spacing w:before="60" w:beforeAutospacing="0" w:after="60"/>
        <w:jc w:val="both"/>
      </w:pPr>
      <w:r>
        <w:rPr>
          <w:rFonts w:ascii="Verdana" w:hAnsi="Verdana"/>
          <w:sz w:val="15"/>
          <w:szCs w:val="15"/>
          <w:u w:val="single"/>
        </w:rPr>
        <w:t>Individuazione dei responsabili della pubblicazione e dell'aggiornamento dei dati</w:t>
      </w:r>
    </w:p>
    <w:p w14:paraId="55A10D86" w14:textId="77777777" w:rsidR="00FD2DBC" w:rsidRDefault="00FD2DBC" w:rsidP="00FD2DBC">
      <w:pPr>
        <w:pStyle w:val="NormaleWeb"/>
        <w:spacing w:before="60" w:beforeAutospacing="0" w:after="60"/>
        <w:jc w:val="both"/>
      </w:pPr>
      <w:r>
        <w:rPr>
          <w:rFonts w:ascii="Verdana" w:hAnsi="Verdana"/>
          <w:sz w:val="15"/>
          <w:szCs w:val="15"/>
        </w:rPr>
        <w:t>1. Ai sensi dell’art. 10 comma 1 del D.Lgs 33/2013 così come modificato dal D.Lgs 97/2016 in allegato si riportano, rispetto agli obblighi di pubblicazione stabiliti e alle sezioni e sottosezioni di cui all’allegato A del decreto medesimo, i dati da pubblicare obbligatoriamente nella sezione “Amministrazione Trasparente” del sito informatico istituzionale dell’ente, iL responsabile della redazione e pubblicazione del dato e la data presumibile entro cui il dato stesso dovrà essere pubblicato, oppure, qualora il dato sia già stato pubblicato, la frequenza dell’aggiornamento dello stesso.</w:t>
      </w:r>
    </w:p>
    <w:p w14:paraId="1E90AE6A" w14:textId="77777777" w:rsidR="00FD2DBC" w:rsidRDefault="00FD2DBC" w:rsidP="00FD2DBC">
      <w:pPr>
        <w:pStyle w:val="NormaleWeb"/>
        <w:spacing w:before="60" w:beforeAutospacing="0" w:after="60"/>
        <w:jc w:val="both"/>
      </w:pPr>
      <w:r>
        <w:rPr>
          <w:rFonts w:ascii="Verdana" w:hAnsi="Verdana"/>
          <w:sz w:val="15"/>
          <w:szCs w:val="15"/>
        </w:rPr>
        <w:t xml:space="preserve">Gli attuali Responsabili di cui al comma precedente risultano individuati secondo le indicazioni riportate nel paragrafo “Contesto interno. Analisi organizzativa. Ruoli e responsabilità” di cui al presente P.T.P.C.T. </w:t>
      </w:r>
    </w:p>
    <w:p w14:paraId="2F7FDF17" w14:textId="77777777" w:rsidR="00FD2DBC" w:rsidRDefault="00FD2DBC" w:rsidP="00FD2DBC">
      <w:pPr>
        <w:pStyle w:val="NormaleWeb"/>
        <w:spacing w:before="60" w:beforeAutospacing="0" w:after="60"/>
        <w:jc w:val="both"/>
      </w:pPr>
      <w:r>
        <w:rPr>
          <w:rFonts w:ascii="Verdana" w:hAnsi="Verdana"/>
          <w:sz w:val="15"/>
          <w:szCs w:val="15"/>
        </w:rPr>
        <w:t>Secondo le direttive della CIVIT (ora A.N.A.C.) i dati devono essere:</w:t>
      </w:r>
    </w:p>
    <w:p w14:paraId="579E533D" w14:textId="77777777" w:rsidR="00FD2DBC" w:rsidRDefault="00FD2DBC" w:rsidP="00FD2DBC">
      <w:pPr>
        <w:pStyle w:val="NormaleWeb"/>
        <w:spacing w:before="60" w:beforeAutospacing="0" w:after="60"/>
        <w:jc w:val="both"/>
      </w:pPr>
      <w:r>
        <w:rPr>
          <w:rFonts w:ascii="Verdana" w:hAnsi="Verdana"/>
          <w:sz w:val="15"/>
          <w:szCs w:val="15"/>
        </w:rPr>
        <w:t>a) aggiornati: per ogni dato l’amministrazione deve indicare la data di pubblicazione e di aggiornamento;</w:t>
      </w:r>
    </w:p>
    <w:p w14:paraId="6FEC3BDA" w14:textId="77777777" w:rsidR="00FD2DBC" w:rsidRDefault="00FD2DBC" w:rsidP="00FD2DBC">
      <w:pPr>
        <w:pStyle w:val="NormaleWeb"/>
        <w:spacing w:before="60" w:beforeAutospacing="0" w:after="60"/>
        <w:jc w:val="both"/>
      </w:pPr>
      <w:r>
        <w:rPr>
          <w:rFonts w:ascii="Verdana" w:hAnsi="Verdana"/>
          <w:sz w:val="15"/>
          <w:szCs w:val="15"/>
        </w:rPr>
        <w:t>b) tempestivi: la pubblicazione dei dati deve avvenire in tempi tali affinché gli stessi possano essere utilmente fruiti dall’utenza (es. i bandi di concorso dalla data di origine/redazione degli stessi, ecc.);</w:t>
      </w:r>
    </w:p>
    <w:p w14:paraId="54C0FB3A" w14:textId="77777777" w:rsidR="00FD2DBC" w:rsidRDefault="00FD2DBC" w:rsidP="00FD2DBC">
      <w:pPr>
        <w:pStyle w:val="NormaleWeb"/>
        <w:spacing w:before="60" w:beforeAutospacing="0" w:after="60"/>
        <w:jc w:val="both"/>
      </w:pPr>
      <w:r>
        <w:rPr>
          <w:rFonts w:ascii="Verdana" w:hAnsi="Verdana"/>
          <w:sz w:val="15"/>
          <w:szCs w:val="15"/>
        </w:rPr>
        <w:t xml:space="preserve">c) pubblicati in formato aperto, in coerenza con le “linee guida dei siti web”. </w:t>
      </w:r>
    </w:p>
    <w:p w14:paraId="0A72C29B" w14:textId="77777777" w:rsidR="00FD2DBC" w:rsidRDefault="00FD2DBC" w:rsidP="00FD2DBC">
      <w:pPr>
        <w:pStyle w:val="NormaleWeb"/>
        <w:spacing w:before="60" w:beforeAutospacing="0" w:after="60"/>
        <w:jc w:val="both"/>
      </w:pPr>
      <w:r>
        <w:rPr>
          <w:rFonts w:ascii="Verdana" w:hAnsi="Verdana"/>
          <w:sz w:val="15"/>
          <w:szCs w:val="15"/>
        </w:rPr>
        <w:t>In considerazione del fatto che:</w:t>
      </w:r>
    </w:p>
    <w:p w14:paraId="6FA06250" w14:textId="77777777" w:rsidR="00FD2DBC" w:rsidRDefault="00FD2DBC" w:rsidP="00FD2DBC">
      <w:pPr>
        <w:pStyle w:val="NormaleWeb"/>
        <w:spacing w:before="60" w:beforeAutospacing="0" w:after="60"/>
        <w:jc w:val="both"/>
      </w:pPr>
      <w:r>
        <w:rPr>
          <w:rFonts w:ascii="Verdana" w:hAnsi="Verdana"/>
          <w:sz w:val="15"/>
          <w:szCs w:val="15"/>
        </w:rPr>
        <w:t xml:space="preserve">- i provvedimenti adottati dagli organi di indirizzo politico e dai dirigenti (deliberazioni, determinazioni, ordinanze) vengono pubblicati integralmente e sono fruibili tramite apposito motore di ricerca; </w:t>
      </w:r>
    </w:p>
    <w:p w14:paraId="76E88521" w14:textId="77777777" w:rsidR="00FD2DBC" w:rsidRDefault="00FD2DBC" w:rsidP="00FD2DBC">
      <w:pPr>
        <w:pStyle w:val="NormaleWeb"/>
        <w:spacing w:before="60" w:beforeAutospacing="0" w:after="60"/>
        <w:jc w:val="both"/>
      </w:pPr>
      <w:r>
        <w:rPr>
          <w:rFonts w:ascii="Verdana" w:hAnsi="Verdana"/>
          <w:sz w:val="15"/>
          <w:szCs w:val="15"/>
        </w:rPr>
        <w:t xml:space="preserve">- l’allegato al D.Lgs. 33/2013 prevede fra l’altro che “… Nel caso in cui sia necessario pubblicare nella sezione “Amministrazione Trasparente” 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 </w:t>
      </w:r>
    </w:p>
    <w:p w14:paraId="51483CBF" w14:textId="77777777" w:rsidR="00FD2DBC" w:rsidRDefault="00FD2DBC" w:rsidP="00FD2DBC">
      <w:pPr>
        <w:pStyle w:val="NormaleWeb"/>
        <w:spacing w:before="60" w:beforeAutospacing="0" w:after="60"/>
        <w:jc w:val="both"/>
      </w:pPr>
      <w:r>
        <w:rPr>
          <w:rFonts w:ascii="Verdana" w:hAnsi="Verdana"/>
          <w:sz w:val="15"/>
          <w:szCs w:val="15"/>
        </w:rPr>
        <w:t>si ritiene di adempiere agli obblighi di pubblicazione previsti dagli art. 23 del D.Lgs. 33/2013 pubblicando integralmente le deliberazioni e le determinazioni. Per quanto attiene la pubblicazione di dati riferiti, a titolo esemplificativo ma non esaustivo, a spese quali quelle previste dall’art. 15 comma 1 D.Lgs. 33/2013 o altri concettualmente assimilabili, verranno pubblicati a consuntivo nel primo mese dell’anno successivo a quello di riferimento e successivamente aggiornati ogni anno. </w:t>
      </w:r>
    </w:p>
    <w:p w14:paraId="5B4F4BAB" w14:textId="77777777" w:rsidR="00FD2DBC" w:rsidRDefault="00FD2DBC" w:rsidP="00FD2DBC">
      <w:pPr>
        <w:pStyle w:val="NormaleWeb"/>
        <w:spacing w:before="60" w:beforeAutospacing="0" w:after="60"/>
        <w:jc w:val="both"/>
      </w:pPr>
      <w:r>
        <w:rPr>
          <w:rFonts w:ascii="Verdana" w:hAnsi="Verdana"/>
          <w:sz w:val="15"/>
          <w:szCs w:val="15"/>
        </w:rPr>
        <w:t> </w:t>
      </w:r>
    </w:p>
    <w:p w14:paraId="0C16C8A0" w14:textId="77777777" w:rsidR="00FD2DBC" w:rsidRDefault="00FD2DBC" w:rsidP="00FD2DBC">
      <w:pPr>
        <w:pStyle w:val="NormaleWeb"/>
        <w:spacing w:before="60" w:beforeAutospacing="0" w:after="60"/>
        <w:jc w:val="both"/>
      </w:pPr>
      <w:r>
        <w:rPr>
          <w:rFonts w:ascii="Verdana" w:hAnsi="Verdana"/>
          <w:sz w:val="15"/>
          <w:szCs w:val="15"/>
          <w:u w:val="single"/>
        </w:rPr>
        <w:t>Individuazione di eventuali referenti per la trasparenza</w:t>
      </w:r>
    </w:p>
    <w:p w14:paraId="611B4C02" w14:textId="77777777" w:rsidR="00FD2DBC" w:rsidRDefault="00FD2DBC" w:rsidP="00FD2DBC">
      <w:pPr>
        <w:pStyle w:val="NormaleWeb"/>
        <w:spacing w:before="60" w:beforeAutospacing="0" w:after="60"/>
        <w:jc w:val="both"/>
      </w:pPr>
      <w:r>
        <w:rPr>
          <w:rFonts w:ascii="Verdana" w:hAnsi="Verdana"/>
          <w:sz w:val="15"/>
          <w:szCs w:val="15"/>
        </w:rPr>
        <w:t xml:space="preserve">All’interno di ogni Area potranno essere individuate da parte dei Responsabili di Area una o più persone referenti per la trasparenza, le quali avranno il compito di raccogliere i dati e le informazioni oggetto della trasparenza e di pubblicarne il contenuto sul sito istituzionale nella sezione Amministrazione Trasparente. </w:t>
      </w:r>
    </w:p>
    <w:p w14:paraId="6F3FD72B" w14:textId="77777777" w:rsidR="00FD2DBC" w:rsidRDefault="00FD2DBC" w:rsidP="00FD2DBC">
      <w:pPr>
        <w:pStyle w:val="NormaleWeb"/>
        <w:spacing w:before="60" w:beforeAutospacing="0" w:after="60"/>
        <w:jc w:val="both"/>
      </w:pPr>
      <w:r>
        <w:rPr>
          <w:rFonts w:ascii="Verdana" w:hAnsi="Verdana"/>
          <w:sz w:val="15"/>
          <w:szCs w:val="15"/>
        </w:rPr>
        <w:t>Ove non siano individuati i referenti per la trasparenza, Responsabili dell’inserimento dei dati rimangono i Responsabili di Area.  </w:t>
      </w:r>
    </w:p>
    <w:p w14:paraId="7F2E82C8" w14:textId="77777777" w:rsidR="00FD2DBC" w:rsidRDefault="00FD2DBC" w:rsidP="00FD2DBC">
      <w:pPr>
        <w:pStyle w:val="NormaleWeb"/>
        <w:spacing w:before="60" w:beforeAutospacing="0" w:after="60"/>
        <w:jc w:val="both"/>
      </w:pPr>
      <w:r>
        <w:rPr>
          <w:rFonts w:ascii="Verdana" w:hAnsi="Verdana"/>
          <w:sz w:val="15"/>
          <w:szCs w:val="15"/>
        </w:rPr>
        <w:t> </w:t>
      </w:r>
    </w:p>
    <w:p w14:paraId="365C1DBB" w14:textId="77777777" w:rsidR="00FD2DBC" w:rsidRDefault="00FD2DBC" w:rsidP="00FD2DBC">
      <w:pPr>
        <w:pStyle w:val="NormaleWeb"/>
        <w:spacing w:before="60" w:beforeAutospacing="0" w:after="60"/>
        <w:jc w:val="both"/>
      </w:pPr>
      <w:r>
        <w:rPr>
          <w:rFonts w:ascii="Verdana" w:hAnsi="Verdana"/>
          <w:sz w:val="15"/>
          <w:szCs w:val="15"/>
          <w:u w:val="single"/>
        </w:rPr>
        <w:t>Principi e modalità  di pubblicazione on line dei dati </w:t>
      </w:r>
    </w:p>
    <w:p w14:paraId="06ED5824" w14:textId="77777777" w:rsidR="00FD2DBC" w:rsidRDefault="00FD2DBC" w:rsidP="00FD2DBC">
      <w:pPr>
        <w:pStyle w:val="NormaleWeb"/>
        <w:spacing w:before="60" w:beforeAutospacing="0" w:after="60"/>
        <w:jc w:val="both"/>
      </w:pPr>
      <w:r>
        <w:rPr>
          <w:rFonts w:ascii="Verdana" w:hAnsi="Verdana"/>
          <w:sz w:val="15"/>
          <w:szCs w:val="15"/>
        </w:rPr>
        <w:t>Tutti i documenti, le informazioni e i dati oggetto di pubblicazione obbligatoria ai sensi della normativa vigente sono pubblici e chiunque ha diritto di conoscerli, di fruirne gratuitamente e di utilizzarli e riutilizzarli in coerenza con le vigenti disposizioni normative. Principale strumento attraverso cui si realizza la trasparenza è la pubblicazione nel sito istituzionale dell’Ente in generale e nella sezione “Amministrazione trasparente” in particolare, di documenti e notizie concernenti l’organizzazione e l’attività amministrativa, cui corrisponde il diritto di chiunque di accedere al sito direttamente ed immediatamente, senza autenticazione ed identificazione.</w:t>
      </w:r>
    </w:p>
    <w:p w14:paraId="5A5B2250" w14:textId="77777777" w:rsidR="00FD2DBC" w:rsidRDefault="00FD2DBC" w:rsidP="00FD2DBC">
      <w:pPr>
        <w:pStyle w:val="NormaleWeb"/>
        <w:spacing w:before="60" w:beforeAutospacing="0" w:after="60"/>
        <w:jc w:val="both"/>
      </w:pPr>
      <w:r>
        <w:rPr>
          <w:rFonts w:ascii="Verdana" w:hAnsi="Verdana"/>
          <w:sz w:val="15"/>
          <w:szCs w:val="15"/>
        </w:rPr>
        <w:t>L'ente persegue l’obiettivo di migliorare la qualità delle pubblicazioni on line, nella prospettiva di raggiungere un appropriato livello di trasparenza; per tale ragione si attiene ai criteri generali di seguito evidenziati e dettagliati nel regolamento sopra richiamato.</w:t>
      </w:r>
    </w:p>
    <w:p w14:paraId="75402A9B" w14:textId="77777777" w:rsidR="00FD2DBC" w:rsidRDefault="00FD2DBC" w:rsidP="00FD2DBC">
      <w:pPr>
        <w:pStyle w:val="NormaleWeb"/>
        <w:spacing w:before="60" w:beforeAutospacing="0" w:after="60"/>
        <w:jc w:val="both"/>
      </w:pPr>
      <w:r>
        <w:rPr>
          <w:rFonts w:ascii="Verdana" w:hAnsi="Verdana"/>
          <w:sz w:val="15"/>
          <w:szCs w:val="15"/>
        </w:rPr>
        <w:t> </w:t>
      </w:r>
    </w:p>
    <w:p w14:paraId="39AF6A74" w14:textId="77777777" w:rsidR="00FD2DBC" w:rsidRDefault="00FD2DBC" w:rsidP="00FD2DBC">
      <w:pPr>
        <w:pStyle w:val="NormaleWeb"/>
        <w:spacing w:before="60" w:beforeAutospacing="0" w:after="60"/>
        <w:jc w:val="both"/>
      </w:pPr>
      <w:r>
        <w:rPr>
          <w:rFonts w:ascii="Verdana" w:hAnsi="Verdana"/>
          <w:sz w:val="15"/>
          <w:szCs w:val="15"/>
          <w:u w:val="single"/>
        </w:rPr>
        <w:t>Chiarezza e accessibilità</w:t>
      </w:r>
    </w:p>
    <w:p w14:paraId="1993BE95" w14:textId="77777777" w:rsidR="00FD2DBC" w:rsidRDefault="00FD2DBC" w:rsidP="00FD2DBC">
      <w:pPr>
        <w:pStyle w:val="NormaleWeb"/>
        <w:spacing w:before="60" w:beforeAutospacing="0" w:after="60"/>
        <w:jc w:val="both"/>
      </w:pPr>
      <w:r>
        <w:rPr>
          <w:rFonts w:ascii="Verdana" w:hAnsi="Verdana"/>
          <w:sz w:val="15"/>
          <w:szCs w:val="15"/>
        </w:rPr>
        <w:t xml:space="preserve">L'ente valuta la chiarezza dei contenuti e della navigazione all’interno del sito web, avviando tutte le opportune attività correttive e migliorative, al fine di assicurare la semplicità di consultazione e la facile accessibilità delle notizie. Nell’ottemperare agli obblighi legali </w:t>
      </w:r>
      <w:r>
        <w:rPr>
          <w:rFonts w:ascii="Verdana" w:hAnsi="Verdana"/>
          <w:sz w:val="15"/>
          <w:szCs w:val="15"/>
        </w:rPr>
        <w:lastRenderedPageBreak/>
        <w:t>di pubblicazione, il Comune si conforma a quanto stabilito dall’art. 6, del D.Lgs. n. 33/2013 e s.m.i., assicurando, relativamente alle informazioni presenti nel sito del Comune, l’integrità, il costante aggiornamento, la completezza, la tempestività, nonché la conformità ai documenti originali in possesso dell’Amministrazione, l’indicazione della loro provenienza e la loro riutilizzabilità. In ogni caso, l’esigenza di assicurare un’adeguata qualità delle informazioni da pubblicare non costituirà motivo per l’omessa o ritardata pubblicazione obbligatoria ai sensi di legge.</w:t>
      </w:r>
    </w:p>
    <w:p w14:paraId="540316D2" w14:textId="77777777" w:rsidR="00FD2DBC" w:rsidRDefault="00FD2DBC" w:rsidP="00FD2DBC">
      <w:pPr>
        <w:pStyle w:val="NormaleWeb"/>
        <w:spacing w:before="60" w:beforeAutospacing="0" w:after="60"/>
        <w:jc w:val="both"/>
      </w:pPr>
      <w:r>
        <w:rPr>
          <w:rFonts w:ascii="Verdana" w:hAnsi="Verdana"/>
          <w:sz w:val="15"/>
          <w:szCs w:val="15"/>
        </w:rPr>
        <w:t>L'ente si è dotato di un sito web istituzionale, la cui home page è collocata l’apposita sezione denominata “Amministrazione trasparente” al cui interno sono contenuti i dati, le informazioni e i documenti da pubblicare ai sensi della normativa vigente.</w:t>
      </w:r>
    </w:p>
    <w:p w14:paraId="158F5514" w14:textId="77777777" w:rsidR="00FD2DBC" w:rsidRDefault="00FD2DBC" w:rsidP="00FD2DBC">
      <w:pPr>
        <w:pStyle w:val="NormaleWeb"/>
        <w:spacing w:before="60" w:beforeAutospacing="0" w:after="60"/>
        <w:jc w:val="both"/>
      </w:pPr>
      <w:r>
        <w:rPr>
          <w:rFonts w:ascii="Verdana" w:hAnsi="Verdana"/>
          <w:sz w:val="15"/>
          <w:szCs w:val="15"/>
        </w:rPr>
        <w:t>La sezione è organizzata secondo le specifiche tecniche prescritte dal D.Lgs. n. 33/2013 e s.m.i. ed è suddivisa in sotto-sezioni in relazione ai diversi contenuti. La struttura e la denominazione delle singole sotto-sezioni riproduce quanto determinato nell’Allegato del medesimo decreto legislativo.</w:t>
      </w:r>
    </w:p>
    <w:p w14:paraId="36BF8B20" w14:textId="77777777" w:rsidR="00FD2DBC" w:rsidRDefault="00FD2DBC" w:rsidP="00FD2DBC">
      <w:pPr>
        <w:pStyle w:val="NormaleWeb"/>
        <w:spacing w:before="60" w:beforeAutospacing="0" w:after="60"/>
        <w:jc w:val="both"/>
      </w:pPr>
      <w:r>
        <w:rPr>
          <w:rFonts w:ascii="Verdana" w:hAnsi="Verdana"/>
          <w:sz w:val="15"/>
          <w:szCs w:val="15"/>
        </w:rPr>
        <w:t>Sono comunque fatti salvi gli adeguamenti che si renderanno necessari per conformare la sezione ai modelli, agli standard e agli schemi approvati da successive disposizioni attuative o modifiche della normativa vigente.</w:t>
      </w:r>
    </w:p>
    <w:p w14:paraId="6D492091" w14:textId="77777777" w:rsidR="00FD2DBC" w:rsidRDefault="00FD2DBC" w:rsidP="00FD2DBC">
      <w:pPr>
        <w:pStyle w:val="NormaleWeb"/>
        <w:spacing w:before="60" w:beforeAutospacing="0" w:after="60"/>
        <w:jc w:val="both"/>
      </w:pPr>
      <w:r>
        <w:rPr>
          <w:rFonts w:ascii="Verdana" w:hAnsi="Verdana"/>
          <w:sz w:val="15"/>
          <w:szCs w:val="15"/>
        </w:rPr>
        <w:t>Ogni ufficio, chiamato ad elaborare i dati e i documenti per la pubblicazione sul sito internet, dovrà adoperarsi, al fine di rendere intelligibili gli atti amministrativi ed i documenti programmatici o divulgativi, sia premettendo metadati di inquadramento, eventuale illustrazione sintetica dei contenuti e introduzione di chiavi di lettura dei documenti / dati oggetto di pubblicazione, sia utilizzando, per la redazione di atti e documenti, un linguaggio comprensibile alla maggioranza dei cittadini / utenti.</w:t>
      </w:r>
    </w:p>
    <w:p w14:paraId="297341A1" w14:textId="77777777" w:rsidR="00FD2DBC" w:rsidRDefault="00FD2DBC" w:rsidP="00FD2DBC">
      <w:pPr>
        <w:pStyle w:val="NormaleWeb"/>
        <w:spacing w:before="60" w:beforeAutospacing="0" w:after="60"/>
        <w:jc w:val="both"/>
      </w:pPr>
      <w:r>
        <w:rPr>
          <w:rFonts w:ascii="Verdana" w:hAnsi="Verdana"/>
          <w:sz w:val="15"/>
          <w:szCs w:val="15"/>
        </w:rPr>
        <w:t> </w:t>
      </w:r>
    </w:p>
    <w:p w14:paraId="45A98725" w14:textId="77777777" w:rsidR="00FD2DBC" w:rsidRDefault="00FD2DBC" w:rsidP="00FD2DBC">
      <w:pPr>
        <w:pStyle w:val="NormaleWeb"/>
        <w:spacing w:before="60" w:beforeAutospacing="0" w:after="60"/>
        <w:jc w:val="both"/>
      </w:pPr>
      <w:r>
        <w:rPr>
          <w:rFonts w:ascii="Verdana" w:hAnsi="Verdana"/>
          <w:sz w:val="15"/>
          <w:szCs w:val="15"/>
          <w:u w:val="single"/>
        </w:rPr>
        <w:t>Tempestività – Costante aggiornamento</w:t>
      </w:r>
    </w:p>
    <w:p w14:paraId="13B25F20" w14:textId="77777777" w:rsidR="00FD2DBC" w:rsidRDefault="00FD2DBC" w:rsidP="00FD2DBC">
      <w:pPr>
        <w:pStyle w:val="NormaleWeb"/>
        <w:spacing w:before="60" w:beforeAutospacing="0" w:after="60"/>
        <w:jc w:val="both"/>
      </w:pPr>
      <w:r>
        <w:rPr>
          <w:rFonts w:ascii="Verdana" w:hAnsi="Verdana"/>
          <w:sz w:val="15"/>
          <w:szCs w:val="15"/>
        </w:rPr>
        <w:t>La decorrenza, la durata delle pubblicazioni e la cadenza temporale degli aggiornamenti sono definite in conformità a quanto espressamente stabilito da specifiche norme di legge e, in mancanza, dalle disposizioni del D.Lgs. n. 33/2013 e s.m.i..</w:t>
      </w:r>
    </w:p>
    <w:p w14:paraId="3CF80972" w14:textId="77777777" w:rsidR="00FD2DBC" w:rsidRDefault="00FD2DBC" w:rsidP="00FD2DBC">
      <w:pPr>
        <w:pStyle w:val="NormaleWeb"/>
        <w:spacing w:before="60" w:beforeAutospacing="0" w:after="60"/>
        <w:jc w:val="both"/>
      </w:pPr>
      <w:r>
        <w:rPr>
          <w:rFonts w:ascii="Verdana" w:hAnsi="Verdana"/>
          <w:sz w:val="15"/>
          <w:szCs w:val="15"/>
        </w:rPr>
        <w:t>Al termine delle prescritte pubblicazioni, il Comune procede all’archiviazione delle informazioni e dei dati o, al contrario, alla loro successiva eliminazione secondo quanto stabilito, caso per caso, dal D.Lgs. n. 33/2013 e s.m.i., nel rispetto delle disposizioni in materia di protezione dei dati personali e delle politiche di archiviazione dei dati.</w:t>
      </w:r>
    </w:p>
    <w:p w14:paraId="128F2472" w14:textId="77777777" w:rsidR="00FD2DBC" w:rsidRDefault="00FD2DBC" w:rsidP="00FD2DBC">
      <w:pPr>
        <w:pStyle w:val="NormaleWeb"/>
        <w:spacing w:before="60" w:beforeAutospacing="0" w:after="60"/>
        <w:jc w:val="both"/>
      </w:pPr>
      <w:r>
        <w:rPr>
          <w:rFonts w:ascii="Verdana" w:hAnsi="Verdana"/>
          <w:sz w:val="15"/>
          <w:szCs w:val="15"/>
        </w:rPr>
        <w:t>Alcuni documenti, per la loro natura, saranno sempre presenti nelle pagine della sezione “Amministrazione trasparente” e non saranno archiviati se non quando saranno eliminati / annullati o superati da diverse tipologie di atti che trattano la medesima materia (esempio i regolamenti comunali).</w:t>
      </w:r>
    </w:p>
    <w:p w14:paraId="1875EE93" w14:textId="77777777" w:rsidR="00FD2DBC" w:rsidRDefault="00FD2DBC" w:rsidP="00FD2DBC">
      <w:pPr>
        <w:pStyle w:val="NormaleWeb"/>
        <w:spacing w:before="60" w:beforeAutospacing="0" w:after="60"/>
        <w:jc w:val="both"/>
      </w:pPr>
      <w:r>
        <w:rPr>
          <w:rFonts w:ascii="Verdana" w:hAnsi="Verdana"/>
          <w:sz w:val="15"/>
          <w:szCs w:val="15"/>
        </w:rPr>
        <w:t>Si procederà alla pubblicazione dei dati tenendo conto dei principi di proporzionalità ed efficienza, che devono guidare l’attività della pubblica amministrazione, facendo prevalere, rispetto agli adempimenti formali, gli adempimenti sostanziali, cui è tenuto l'ente nell’erogazione dei servizi ai cittadini e alle imprese, contenendo eventuali ritardi nelle pubblicazioni entro tempi ragionevoli e giustificabili. Ovviamente, i dati e i documenti dovranno essere pubblicati entro 30 giorni, nel caso di accesso civico.</w:t>
      </w:r>
    </w:p>
    <w:p w14:paraId="7F4E49FA" w14:textId="77777777" w:rsidR="00FD2DBC" w:rsidRDefault="00FD2DBC" w:rsidP="00FD2DBC">
      <w:pPr>
        <w:pStyle w:val="NormaleWeb"/>
        <w:spacing w:before="60" w:beforeAutospacing="0" w:after="60"/>
        <w:jc w:val="both"/>
      </w:pPr>
      <w:r>
        <w:rPr>
          <w:rFonts w:ascii="Verdana" w:hAnsi="Verdana"/>
          <w:sz w:val="15"/>
          <w:szCs w:val="15"/>
        </w:rPr>
        <w:t> </w:t>
      </w:r>
    </w:p>
    <w:p w14:paraId="7978EE15" w14:textId="77777777" w:rsidR="00FD2DBC" w:rsidRDefault="00FD2DBC" w:rsidP="00FD2DBC">
      <w:pPr>
        <w:pStyle w:val="NormaleWeb"/>
        <w:spacing w:before="60" w:beforeAutospacing="0" w:after="60"/>
        <w:jc w:val="both"/>
      </w:pPr>
      <w:r>
        <w:rPr>
          <w:rFonts w:ascii="Verdana" w:hAnsi="Verdana"/>
          <w:sz w:val="15"/>
          <w:szCs w:val="15"/>
          <w:u w:val="single"/>
        </w:rPr>
        <w:t>Limiti alla pubblicazione dei dati – Protezione dei dati personali</w:t>
      </w:r>
    </w:p>
    <w:p w14:paraId="2F529BFB" w14:textId="77777777" w:rsidR="00FD2DBC" w:rsidRDefault="00FD2DBC" w:rsidP="00FD2DBC">
      <w:pPr>
        <w:pStyle w:val="NormaleWeb"/>
        <w:spacing w:before="60" w:beforeAutospacing="0" w:after="60"/>
        <w:jc w:val="both"/>
      </w:pPr>
      <w:r>
        <w:rPr>
          <w:rFonts w:ascii="Verdana" w:hAnsi="Verdana"/>
          <w:sz w:val="15"/>
          <w:szCs w:val="15"/>
        </w:rPr>
        <w:t>Le esigenze di trasparenza, pubblicità e consultabilità degli atti e dei dati informativi saranno comunque contemperate con i limiti posti dalla legge in materia di protezione dei dati personali, secondo quanto evidenziato, anche sotto un profilo operativo, dal Garante sulla Privacy nei propri provvedimenti.</w:t>
      </w:r>
    </w:p>
    <w:p w14:paraId="0F36CBDF" w14:textId="77777777" w:rsidR="00FD2DBC" w:rsidRDefault="00FD2DBC" w:rsidP="00FD2DBC">
      <w:pPr>
        <w:pStyle w:val="NormaleWeb"/>
        <w:spacing w:before="60" w:beforeAutospacing="0" w:after="60"/>
        <w:jc w:val="both"/>
      </w:pPr>
      <w:r>
        <w:rPr>
          <w:rFonts w:ascii="Verdana" w:hAnsi="Verdana"/>
          <w:sz w:val="15"/>
          <w:szCs w:val="15"/>
        </w:rPr>
        <w:t>L'ente provvede ad ottemperare agli obblighi legali di pubblicità e trasparenza coerentemente a quanto previsto dall’art. 4 del D.Lgs. n. 33/2013, adottando cautele e/o individuando accorgimenti tecnici volti ad assicurare forme corrette e proporzionate di conoscibilità delle informazioni, a tutela dell’individuo, della sua riservatezza e dignità.</w:t>
      </w:r>
    </w:p>
    <w:p w14:paraId="4437DBC4" w14:textId="77777777" w:rsidR="00FD2DBC" w:rsidRDefault="00FD2DBC" w:rsidP="00FD2DBC">
      <w:pPr>
        <w:pStyle w:val="NormaleWeb"/>
        <w:spacing w:before="60" w:beforeAutospacing="0" w:after="60"/>
        <w:jc w:val="both"/>
      </w:pPr>
      <w:r>
        <w:rPr>
          <w:rFonts w:ascii="Verdana" w:hAnsi="Verdana"/>
          <w:sz w:val="15"/>
          <w:szCs w:val="15"/>
        </w:rPr>
        <w:t>In ogni caso, restano fermi i limiti alla diffusione e all’accesso delle informazioni di cui all’art. 24, commi 1 e 6, della L. n. 241/1990, di tutti i dati di cui all’art. 9 del D.Lgs. n. 322/1989,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 delle persone. Fatte salve ulteriori limitazioni di legge in ordine alla diffusione di informazioni soprattutto sensibili o comunque idonee ad esporre il soggetto interessato a forme di discriminazione, il Comune, in presenza di disposizioni legislative o regolamentari che legittimano la pubblicazione di atti o documenti, provvederà a rendere non intellegibili i dati personali non pertinenti o, se sensibili o giudiziari, non indispensabili rispetto alle specifiche finalità di trasparenza della pubblicazione (art. 4, co. 4, del D.Lgs. n. 33/2013).</w:t>
      </w:r>
    </w:p>
    <w:p w14:paraId="2DF6B90F" w14:textId="77777777" w:rsidR="00FD2DBC" w:rsidRDefault="00FD2DBC" w:rsidP="00FD2DBC">
      <w:pPr>
        <w:pStyle w:val="NormaleWeb"/>
        <w:spacing w:before="60" w:beforeAutospacing="0" w:after="60"/>
        <w:jc w:val="both"/>
      </w:pPr>
      <w:r>
        <w:rPr>
          <w:rFonts w:ascii="Verdana" w:hAnsi="Verdana"/>
          <w:sz w:val="15"/>
          <w:szCs w:val="15"/>
        </w:rPr>
        <w:t> </w:t>
      </w:r>
    </w:p>
    <w:p w14:paraId="6D263988" w14:textId="77777777" w:rsidR="00FD2DBC" w:rsidRDefault="00FD2DBC" w:rsidP="00FD2DBC">
      <w:pPr>
        <w:pStyle w:val="NormaleWeb"/>
        <w:spacing w:before="60" w:beforeAutospacing="0" w:after="60"/>
        <w:jc w:val="both"/>
      </w:pPr>
      <w:r>
        <w:rPr>
          <w:rFonts w:ascii="Verdana" w:hAnsi="Verdana"/>
          <w:sz w:val="15"/>
          <w:szCs w:val="15"/>
        </w:rPr>
        <w:t>Qualora nel corso del tempo emergano esigenze, legate alla realizzazione della trasparenza pubblica, di disporre la pubblicazione sul sito istituzionale di dati, informazioni o documenti che l’Amministrazione non ha l’obbligo di pubblicare in base a specifiche previsioni di legge o di regolamento, fermo restando il rispetto dei limiti e condizioni espressamente previsti da disposizioni di legge, il Comune procederà, in ogni caso, a rendere anonimi i dati personali eventualmente presenti (art. 4, co. 3, del D.Lgs. n. 33/2013 e s.m.i.).</w:t>
      </w:r>
    </w:p>
    <w:p w14:paraId="6E7A0260" w14:textId="77777777" w:rsidR="00FD2DBC" w:rsidRDefault="00FD2DBC" w:rsidP="00FD2DBC">
      <w:pPr>
        <w:pStyle w:val="NormaleWeb"/>
        <w:spacing w:before="60" w:beforeAutospacing="0" w:after="60"/>
        <w:jc w:val="both"/>
      </w:pPr>
      <w:r>
        <w:rPr>
          <w:rFonts w:ascii="Verdana" w:hAnsi="Verdana"/>
          <w:sz w:val="15"/>
          <w:szCs w:val="15"/>
        </w:rPr>
        <w:t> </w:t>
      </w:r>
    </w:p>
    <w:p w14:paraId="59BA1356" w14:textId="77777777" w:rsidR="00FD2DBC" w:rsidRDefault="00FD2DBC" w:rsidP="00FD2DBC">
      <w:pPr>
        <w:pStyle w:val="NormaleWeb"/>
        <w:spacing w:before="60" w:beforeAutospacing="0" w:after="60"/>
      </w:pPr>
      <w:r>
        <w:rPr>
          <w:rFonts w:ascii="Verdana" w:hAnsi="Verdana"/>
          <w:sz w:val="15"/>
          <w:szCs w:val="15"/>
          <w:u w:val="single"/>
        </w:rPr>
        <w:t>Trasparenza e nuova disciplina della tutela dei dati personali (Reg. UE 2016/679)</w:t>
      </w:r>
    </w:p>
    <w:p w14:paraId="5284AAD3" w14:textId="77777777" w:rsidR="00FD2DBC" w:rsidRDefault="00FD2DBC" w:rsidP="00FD2DBC">
      <w:pPr>
        <w:pStyle w:val="NormaleWeb"/>
        <w:spacing w:before="60" w:beforeAutospacing="0" w:after="60"/>
        <w:jc w:val="both"/>
      </w:pPr>
      <w:r>
        <w:rPr>
          <w:rFonts w:ascii="Verdana" w:hAnsi="Verdana"/>
          <w:sz w:val="15"/>
          <w:szCs w:val="15"/>
        </w:rPr>
        <w:t xml:space="preserve">A seguito dell’applicazione dal 25 maggio 2018 del Regolamento (UE) 2016/679 del Parlamento Europeo e del Consiglio del 27 aprile 2016 </w:t>
      </w:r>
      <w:r>
        <w:rPr>
          <w:rStyle w:val="Enfasicorsivo"/>
          <w:rFonts w:ascii="Verdana" w:hAnsi="Verdana"/>
          <w:sz w:val="15"/>
          <w:szCs w:val="15"/>
        </w:rPr>
        <w:t>«relativo alla protezione delle persone fisiche con riguardo al trattamento dei dati personali, nonché alla libera circolazione di tali dati e che abroga la direttiva 95/46/CE (Regolamento generale sulla protezione dei dati)»</w:t>
      </w:r>
      <w:r>
        <w:rPr>
          <w:rFonts w:ascii="Verdana" w:hAnsi="Verdana"/>
          <w:sz w:val="15"/>
          <w:szCs w:val="15"/>
        </w:rPr>
        <w:t xml:space="preserve"> (si seguito RGPD) e, dell’entrata in vigore, il 19 settembre 2018, del decreto legislativo 10 agosto 2018, n. 101 che adegua il Codice in materia di protezione dei dati personali - decreto legislativo 30 giugno 2003, n. 196 – alle disposizioni del Regolamento (UE) 2016/679, sono stati formulati quesiti all’ANAC volti a chiarire la compatibilità della nuova disciplina con gli obblighi di pubblicazione previsti dal d.lgs. 33/2013.</w:t>
      </w:r>
    </w:p>
    <w:p w14:paraId="469A3FA9" w14:textId="77777777" w:rsidR="00FD2DBC" w:rsidRDefault="00FD2DBC" w:rsidP="00FD2DBC">
      <w:pPr>
        <w:pStyle w:val="NormaleWeb"/>
        <w:spacing w:before="60" w:beforeAutospacing="0" w:after="60"/>
        <w:jc w:val="both"/>
      </w:pPr>
      <w:r>
        <w:rPr>
          <w:rFonts w:ascii="Verdana" w:hAnsi="Verdana"/>
          <w:sz w:val="15"/>
          <w:szCs w:val="15"/>
        </w:rPr>
        <w:lastRenderedPageBreak/>
        <w:t xml:space="preserve">Occorre evidenziare, 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w:t>
      </w:r>
      <w:r>
        <w:rPr>
          <w:rStyle w:val="Enfasicorsivo"/>
          <w:rFonts w:ascii="Verdana" w:hAnsi="Verdana"/>
          <w:sz w:val="15"/>
          <w:szCs w:val="15"/>
        </w:rPr>
        <w:t>«è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w:t>
      </w:r>
      <w:r>
        <w:rPr>
          <w:rFonts w:ascii="Verdana" w:hAnsi="Verdana"/>
          <w:sz w:val="15"/>
          <w:szCs w:val="15"/>
        </w:rPr>
        <w:t>.</w:t>
      </w:r>
    </w:p>
    <w:p w14:paraId="26891C86" w14:textId="77777777" w:rsidR="00FD2DBC" w:rsidRDefault="00FD2DBC" w:rsidP="00FD2DBC">
      <w:pPr>
        <w:pStyle w:val="NormaleWeb"/>
        <w:spacing w:before="60" w:beforeAutospacing="0" w:after="60"/>
        <w:jc w:val="both"/>
      </w:pPr>
      <w:r>
        <w:rPr>
          <w:rFonts w:ascii="Verdana" w:hAnsi="Verdana"/>
          <w:sz w:val="15"/>
          <w:szCs w:val="15"/>
        </w:rPr>
        <w:t>Il regime normativo per il trattamento di dati personali da parte dei soggetti pubblici è, quindi, rimasto sostanzialmente inalterato essendo confermato il principio che esso è consentito unicamente se ammesso da una norma di legge o, nei casi previsti dalla legge, di regolamento. Pertanto, fermo restando il valore riconosciuto alla trasparenza, che concorre ad attuare il principio democratico e i principi costituzionali di eguaglianza, di imparzialità, buon andamento, responsabilità, efficacia ed efficienza nell’utilizzo di risorse pubbliche, integrità e lealtà nel servizio alla nazione (art. 1, d.lgs. 33/2013),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w:t>
      </w:r>
    </w:p>
    <w:p w14:paraId="75180A42" w14:textId="77777777" w:rsidR="00FD2DBC" w:rsidRDefault="00FD2DBC" w:rsidP="00FD2DBC">
      <w:pPr>
        <w:pStyle w:val="NormaleWeb"/>
        <w:spacing w:before="60" w:beforeAutospacing="0" w:after="60"/>
        <w:jc w:val="both"/>
      </w:pPr>
      <w:r>
        <w:rPr>
          <w:rFonts w:ascii="Verdana" w:hAnsi="Verdana"/>
          <w:sz w:val="15"/>
          <w:szCs w:val="15"/>
        </w:rPr>
        <w:t xml:space="preserve">Giova rammentare, tuttavia,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 liceità, correttezza e trasparenza; minimizzazione dei dati; esattezza; limitazione della conservazione; integrità e riservatezza tenendo anche conto del principio di “responsabilizzazione” del titolare del trattamento. In particolare, assumono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Il medesimo d.lgs. 33/2013 all’art. 7 bis, co. 4, dispone inoltre che </w:t>
      </w:r>
      <w:r>
        <w:rPr>
          <w:rStyle w:val="Enfasicorsivo"/>
          <w:rFonts w:ascii="Verdana" w:hAnsi="Verdana"/>
          <w:sz w:val="15"/>
          <w:szCs w:val="15"/>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Pr>
          <w:rFonts w:ascii="Verdana" w:hAnsi="Verdana"/>
          <w:sz w:val="15"/>
          <w:szCs w:val="15"/>
        </w:rPr>
        <w:t xml:space="preserve">. Si richiama anche quanto previsto all’art. 6 del d.lgs. 33/2013 rubricato “Qualità delle informazioni” che risponde alla esigenza di assicurare esattezza, completezza, aggiornamento e adeguatezza dei dati pubblicati. </w:t>
      </w:r>
    </w:p>
    <w:p w14:paraId="364E6E0E" w14:textId="77777777" w:rsidR="00FD2DBC" w:rsidRDefault="00FD2DBC" w:rsidP="00FD2DBC">
      <w:pPr>
        <w:pStyle w:val="NormaleWeb"/>
        <w:spacing w:before="60" w:beforeAutospacing="0" w:after="60"/>
        <w:jc w:val="both"/>
      </w:pPr>
      <w:r>
        <w:rPr>
          <w:rFonts w:ascii="Verdana" w:hAnsi="Verdana"/>
          <w:sz w:val="15"/>
          <w:szCs w:val="15"/>
        </w:rPr>
        <w:t xml:space="preserve">In generale, in relazione alle cautele da adottare per il rispetto della normativa in materia di protezione dei dati personali nell’attività di pubblicazione sui siti istituzionali per finalità di trasparenza e pubblicità dell’azione amministrativa, si rinvia alle più specifiche indicazioni fornite dal Garante per la protezione dei dati personali. Si ricorda inoltre che, in ogni caso, ai sensi della normativa europea, il Responsabile della Protezione dei Dati-RPD (vedi </w:t>
      </w:r>
      <w:r>
        <w:rPr>
          <w:rStyle w:val="Enfasicorsivo"/>
          <w:rFonts w:ascii="Verdana" w:hAnsi="Verdana"/>
          <w:sz w:val="15"/>
          <w:szCs w:val="15"/>
        </w:rPr>
        <w:t>infra</w:t>
      </w:r>
      <w:r>
        <w:rPr>
          <w:rFonts w:ascii="Verdana" w:hAnsi="Verdana"/>
          <w:sz w:val="15"/>
          <w:szCs w:val="15"/>
        </w:rPr>
        <w:t xml:space="preserve">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79E0CE19" w14:textId="77777777" w:rsidR="00FD2DBC" w:rsidRDefault="00FD2DBC" w:rsidP="00FD2DBC">
      <w:pPr>
        <w:pStyle w:val="NormaleWeb"/>
        <w:spacing w:before="60" w:beforeAutospacing="0" w:after="60"/>
        <w:jc w:val="both"/>
      </w:pPr>
      <w:r>
        <w:rPr>
          <w:rFonts w:ascii="Verdana" w:hAnsi="Verdana"/>
          <w:sz w:val="15"/>
          <w:szCs w:val="15"/>
          <w:u w:val="single"/>
        </w:rPr>
        <w:t>Rapporti tra RPCT e Responsabile della Protezione dei Dati – RPD</w:t>
      </w:r>
    </w:p>
    <w:p w14:paraId="404F8C12" w14:textId="77777777" w:rsidR="00FD2DBC" w:rsidRDefault="00FD2DBC" w:rsidP="00FD2DBC">
      <w:pPr>
        <w:pStyle w:val="NormaleWeb"/>
        <w:spacing w:before="60" w:beforeAutospacing="0" w:after="60"/>
        <w:jc w:val="both"/>
      </w:pPr>
      <w:r>
        <w:rPr>
          <w:rFonts w:ascii="Verdana" w:hAnsi="Verdana"/>
          <w:sz w:val="15"/>
          <w:szCs w:val="15"/>
        </w:rPr>
        <w:t>Un indirizzo interpretativo con riguardo ai rapporti fra il Responsabile della prevenzione della corruzione e della Trasparenza (RPCT) e il Responsabile della protezione dei dati - RPD, figura introdotta dal Regolamento (UE) 2016/679 (artt. 37-39), è stato sollecitato all’Autorità da diverse amministrazioni. Ciò in ragione della circostanza che molte amministrazioni sono tenute al rispetto delle disposizioni contenute nella l. 190/2012, e quindi alla nomina del RPCT, e sono chiamate a individuare anche il RPD. Secondo le previsioni normative, il RPCT è scelto fra personale interno alle amministrazioni o enti (si rinvia al riguardo all’art. 1, co. 7, della l. 190/2012 e alle precisazioni contenute nei Piani nazionali anticorruzione 2015 e 2016). Diversamente il RPD può essere individuato in una professionalità interna all’ente o assolvere ai suoi compiti in base ad un contratto di servizi stipulato con persona fisica o giuridica esterna all’ente (art. 37 del Regolamento (UE) 2016/679). Fermo restando, quindi, che il RPCT è sempre un soggetto interno, qualora il RPD sia individuato anch’esso fra soggetti interni, l’Autorità ritiene che, per quanto possibile, tale figura non debba coincidere con il RPCT. Si valuta, infatti, che la sovrapposizione dei due ruoli possa rischiare di limitare l’effettività dello svolgimento delle attività riconducibili alle due diverse funzioni, tenuto conto dei numerosi compiti e responsabilità che la normativa attribuisce sia al RPD che al RPCT. 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46BD5319" w14:textId="77777777" w:rsidR="00FD2DBC" w:rsidRDefault="00FD2DBC" w:rsidP="00FD2DBC">
      <w:pPr>
        <w:pStyle w:val="NormaleWeb"/>
        <w:spacing w:before="60" w:beforeAutospacing="0" w:after="60"/>
        <w:jc w:val="both"/>
      </w:pPr>
      <w:r>
        <w:rPr>
          <w:rFonts w:ascii="Verdana" w:hAnsi="Verdana"/>
          <w:sz w:val="15"/>
          <w:szCs w:val="15"/>
        </w:rPr>
        <w:t xml:space="preserve">Giova sottolineare che il medesimo orientamento è stato espresso dal Garante per la protezione dei dati personali nella FAQ n. 7 relativa al RPD in ambito pubblico, laddove ha chiarito che </w:t>
      </w:r>
      <w:r>
        <w:rPr>
          <w:rStyle w:val="Enfasicorsivo"/>
          <w:rFonts w:ascii="Verdana" w:hAnsi="Verdana"/>
          <w:sz w:val="15"/>
          <w:szCs w:val="15"/>
        </w:rPr>
        <w:t>«In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w:t>
      </w:r>
      <w:r>
        <w:rPr>
          <w:rFonts w:ascii="Verdana" w:hAnsi="Verdana"/>
          <w:sz w:val="15"/>
          <w:szCs w:val="15"/>
        </w:rPr>
        <w:t>.</w:t>
      </w:r>
    </w:p>
    <w:p w14:paraId="6829C7A3" w14:textId="77777777" w:rsidR="00FD2DBC" w:rsidRDefault="00FD2DBC" w:rsidP="00FD2DBC">
      <w:pPr>
        <w:pStyle w:val="NormaleWeb"/>
        <w:spacing w:before="60" w:beforeAutospacing="0" w:after="60"/>
        <w:jc w:val="both"/>
      </w:pPr>
      <w:r>
        <w:rPr>
          <w:rFonts w:ascii="Verdana" w:hAnsi="Verdana"/>
          <w:sz w:val="15"/>
          <w:szCs w:val="15"/>
        </w:rPr>
        <w:t xml:space="preserve">Resta fermo che, per le questioni di carattere generale riguardanti la protezione dei dati personali, il RPD costituisce una figura di riferimento anche per il RPCT, anche se naturalmente non può sostituirsi ad esso nell’esercizio delle funzioni. 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può avvalere, se ritenuto necessario, del supporto del RDP nell’ambito di un rapporto di collaborazione interna fra gli uffici ma limitatamente a profili di carattere generale, tenuto conto che proprio la legge </w:t>
      </w:r>
      <w:r>
        <w:rPr>
          <w:rFonts w:ascii="Verdana" w:hAnsi="Verdana"/>
          <w:sz w:val="15"/>
          <w:szCs w:val="15"/>
        </w:rPr>
        <w:lastRenderedPageBreak/>
        <w:t>attribuisce al RPCT il potere di richiedere un parere al Garante per la protezione dei dati personali. Ciò anche se il RPD sia stato eventualmente già consultato in prima istanza dall’ufficio che ha riscontrato l’accesso civico oggetto del riesame.</w:t>
      </w:r>
    </w:p>
    <w:p w14:paraId="25DCA516" w14:textId="77777777" w:rsidR="00FD2DBC" w:rsidRDefault="00FD2DBC" w:rsidP="00FD2DBC">
      <w:pPr>
        <w:pStyle w:val="NormaleWeb"/>
        <w:spacing w:before="60" w:beforeAutospacing="0" w:after="60"/>
      </w:pPr>
      <w:r>
        <w:rPr>
          <w:rFonts w:ascii="Verdana" w:hAnsi="Verdana"/>
          <w:sz w:val="15"/>
          <w:szCs w:val="15"/>
        </w:rPr>
        <w:t>I dati relativi al RPD sono presenti nella sezione privacy del sito istituzionale dell’ente.</w:t>
      </w:r>
    </w:p>
    <w:p w14:paraId="1CB613E9" w14:textId="77777777" w:rsidR="00FD2DBC" w:rsidRDefault="00FD2DBC" w:rsidP="00FD2DBC">
      <w:pPr>
        <w:pStyle w:val="NormaleWeb"/>
        <w:spacing w:before="60" w:beforeAutospacing="0" w:after="60"/>
        <w:jc w:val="both"/>
      </w:pPr>
      <w:r>
        <w:rPr>
          <w:rFonts w:ascii="Verdana" w:hAnsi="Verdana"/>
          <w:sz w:val="15"/>
          <w:szCs w:val="15"/>
        </w:rPr>
        <w:t> </w:t>
      </w:r>
    </w:p>
    <w:p w14:paraId="1026A019" w14:textId="77777777" w:rsidR="00FD2DBC" w:rsidRDefault="00FD2DBC" w:rsidP="00FD2DBC">
      <w:pPr>
        <w:pStyle w:val="NormaleWeb"/>
        <w:spacing w:before="60" w:beforeAutospacing="0" w:after="60"/>
        <w:jc w:val="both"/>
      </w:pPr>
      <w:r>
        <w:rPr>
          <w:rFonts w:ascii="Verdana" w:hAnsi="Verdana"/>
          <w:sz w:val="15"/>
          <w:szCs w:val="15"/>
          <w:u w:val="single"/>
        </w:rPr>
        <w:t>Dati aperti e riutilizzo</w:t>
      </w:r>
    </w:p>
    <w:p w14:paraId="34D89961" w14:textId="77777777" w:rsidR="00FD2DBC" w:rsidRDefault="00FD2DBC" w:rsidP="00FD2DBC">
      <w:pPr>
        <w:pStyle w:val="NormaleWeb"/>
        <w:spacing w:before="60" w:beforeAutospacing="0" w:after="60"/>
        <w:jc w:val="both"/>
      </w:pPr>
      <w:r>
        <w:rPr>
          <w:rFonts w:ascii="Verdana" w:hAnsi="Verdana"/>
          <w:sz w:val="15"/>
          <w:szCs w:val="15"/>
        </w:rPr>
        <w:t>Secondo le direttive della CIVIT (ora A.N.A.C.) i dati devono essere:</w:t>
      </w:r>
    </w:p>
    <w:p w14:paraId="7480DDD9" w14:textId="77777777" w:rsidR="00FD2DBC" w:rsidRDefault="00FD2DBC" w:rsidP="00FD2DBC">
      <w:pPr>
        <w:pStyle w:val="NormaleWeb"/>
        <w:spacing w:before="60" w:beforeAutospacing="0" w:after="60"/>
        <w:jc w:val="both"/>
      </w:pPr>
      <w:r>
        <w:rPr>
          <w:rFonts w:ascii="Verdana" w:hAnsi="Verdana"/>
          <w:sz w:val="15"/>
          <w:szCs w:val="15"/>
        </w:rPr>
        <w:t>a) aggiornati: per ogni dato l’amministrazione deve indicare la data di pubblicazione e di aggiornamento;</w:t>
      </w:r>
    </w:p>
    <w:p w14:paraId="0ECBD634" w14:textId="77777777" w:rsidR="00FD2DBC" w:rsidRDefault="00FD2DBC" w:rsidP="00FD2DBC">
      <w:pPr>
        <w:pStyle w:val="NormaleWeb"/>
        <w:spacing w:before="60" w:beforeAutospacing="0" w:after="60"/>
        <w:jc w:val="both"/>
      </w:pPr>
      <w:r>
        <w:rPr>
          <w:rFonts w:ascii="Verdana" w:hAnsi="Verdana"/>
          <w:sz w:val="15"/>
          <w:szCs w:val="15"/>
        </w:rPr>
        <w:t>b) tempestivi: la pubblicazione dei dati deve avvenire in tempi tali affinché gli stessi possano essere utilmente fruiti dall’utenza (es. i bandi di concorso dalladata di origine/redazione degli stessi, ecc.);</w:t>
      </w:r>
    </w:p>
    <w:p w14:paraId="3CE552D8" w14:textId="77777777" w:rsidR="00FD2DBC" w:rsidRDefault="00FD2DBC" w:rsidP="00FD2DBC">
      <w:pPr>
        <w:pStyle w:val="NormaleWeb"/>
        <w:spacing w:before="60" w:beforeAutospacing="0" w:after="60"/>
        <w:jc w:val="both"/>
      </w:pPr>
      <w:r>
        <w:rPr>
          <w:rFonts w:ascii="Verdana" w:hAnsi="Verdana"/>
          <w:sz w:val="15"/>
          <w:szCs w:val="15"/>
        </w:rPr>
        <w:t>c) pubblicati in formato aperto, in coerenza con le “linee guida dei siti web”.</w:t>
      </w:r>
    </w:p>
    <w:p w14:paraId="44A80D06" w14:textId="77777777" w:rsidR="00FD2DBC" w:rsidRDefault="00FD2DBC" w:rsidP="00FD2DBC">
      <w:pPr>
        <w:pStyle w:val="NormaleWeb"/>
        <w:spacing w:before="60" w:beforeAutospacing="0" w:after="60"/>
        <w:jc w:val="both"/>
      </w:pPr>
      <w:r>
        <w:rPr>
          <w:rFonts w:ascii="Verdana" w:hAnsi="Verdana"/>
          <w:sz w:val="15"/>
          <w:szCs w:val="15"/>
        </w:rPr>
        <w:t> </w:t>
      </w:r>
    </w:p>
    <w:p w14:paraId="7E086FE0" w14:textId="77777777" w:rsidR="00FD2DBC" w:rsidRDefault="00FD2DBC" w:rsidP="00FD2DBC">
      <w:pPr>
        <w:pStyle w:val="NormaleWeb"/>
        <w:spacing w:before="60" w:beforeAutospacing="0" w:after="60"/>
        <w:jc w:val="both"/>
      </w:pPr>
      <w:r>
        <w:rPr>
          <w:rFonts w:ascii="Verdana" w:hAnsi="Verdana"/>
          <w:sz w:val="15"/>
          <w:szCs w:val="15"/>
        </w:rPr>
        <w:t>In considerazione del fatto che:</w:t>
      </w:r>
    </w:p>
    <w:p w14:paraId="24B8D645" w14:textId="77777777" w:rsidR="00FD2DBC" w:rsidRDefault="00FD2DBC" w:rsidP="00FD2DBC">
      <w:pPr>
        <w:pStyle w:val="NormaleWeb"/>
        <w:spacing w:before="60" w:beforeAutospacing="0" w:after="60"/>
        <w:jc w:val="both"/>
      </w:pPr>
      <w:r>
        <w:rPr>
          <w:rFonts w:ascii="Verdana" w:hAnsi="Verdana"/>
          <w:sz w:val="15"/>
          <w:szCs w:val="15"/>
        </w:rPr>
        <w:t>- i provvedimenti adottati dagli organi di indirizzo politico e dai dirigenti (deliberazioni, determinazioni, ordinanze) vengono pubblicati integralmente e sono fruibili tramite apposito motore di ricerca;</w:t>
      </w:r>
    </w:p>
    <w:p w14:paraId="6200CC23" w14:textId="77777777" w:rsidR="00FD2DBC" w:rsidRDefault="00FD2DBC" w:rsidP="00FD2DBC">
      <w:pPr>
        <w:pStyle w:val="NormaleWeb"/>
        <w:spacing w:before="60" w:beforeAutospacing="0" w:after="60"/>
        <w:jc w:val="both"/>
      </w:pPr>
      <w:r>
        <w:rPr>
          <w:rFonts w:ascii="Verdana" w:hAnsi="Verdana"/>
          <w:sz w:val="15"/>
          <w:szCs w:val="15"/>
        </w:rPr>
        <w:t>- l’allegato al D.Lgs. 33/2013 prevede fra l’altro che “… Nel caso in cui sia necessario pubblicare nella sezione “Amministrazione Trasparente”informazioni,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w:t>
      </w:r>
    </w:p>
    <w:p w14:paraId="53A447F6" w14:textId="77777777" w:rsidR="00FD2DBC" w:rsidRDefault="00FD2DBC" w:rsidP="00FD2DBC">
      <w:pPr>
        <w:pStyle w:val="NormaleWeb"/>
        <w:spacing w:before="60" w:beforeAutospacing="0" w:after="60"/>
        <w:jc w:val="both"/>
      </w:pPr>
      <w:r>
        <w:rPr>
          <w:rFonts w:ascii="Verdana" w:hAnsi="Verdana"/>
          <w:sz w:val="15"/>
          <w:szCs w:val="15"/>
        </w:rPr>
        <w:t> </w:t>
      </w:r>
    </w:p>
    <w:p w14:paraId="60697BC3" w14:textId="77777777" w:rsidR="00FD2DBC" w:rsidRDefault="00FD2DBC" w:rsidP="00FD2DBC">
      <w:pPr>
        <w:pStyle w:val="NormaleWeb"/>
        <w:spacing w:before="60" w:beforeAutospacing="0" w:after="60"/>
        <w:jc w:val="both"/>
      </w:pPr>
      <w:r>
        <w:rPr>
          <w:rFonts w:ascii="Verdana" w:hAnsi="Verdana"/>
          <w:sz w:val="15"/>
          <w:szCs w:val="15"/>
        </w:rPr>
        <w:t>Si ritiene di adempiere agli obblighi di pubblicazione previsti dagli art. 23 del D.Lgs. 33/2013 pubblicando integralmente le deliberazioni e le determinazioni. Per quanto attiene la pubblicazione di dati riferiti, a titolo esemplificativo, ma non esaustivo, a spese quali quelle previste dall’art. 15 comma 1 D.Lgs. 33/2013o altri concettualmente assimilabili, verranno pubblicati a consuntivo nel primo mese dell’anno successivo a quello di riferimento e successivamente aggiornati ogni anno. </w:t>
      </w:r>
    </w:p>
    <w:p w14:paraId="49BDC80C" w14:textId="77777777" w:rsidR="00FD2DBC" w:rsidRDefault="00FD2DBC" w:rsidP="00FD2DBC">
      <w:pPr>
        <w:pStyle w:val="NormaleWeb"/>
        <w:spacing w:before="60" w:beforeAutospacing="0" w:after="60"/>
        <w:jc w:val="both"/>
      </w:pPr>
      <w:r>
        <w:rPr>
          <w:rFonts w:ascii="Verdana" w:hAnsi="Verdana"/>
          <w:sz w:val="15"/>
          <w:szCs w:val="15"/>
        </w:rPr>
        <w:t> </w:t>
      </w:r>
    </w:p>
    <w:p w14:paraId="10B056E5" w14:textId="77777777" w:rsidR="00FD2DBC" w:rsidRDefault="00FD2DBC" w:rsidP="00FD2DBC">
      <w:pPr>
        <w:pStyle w:val="NormaleWeb"/>
        <w:spacing w:before="60" w:beforeAutospacing="0" w:after="60"/>
        <w:jc w:val="both"/>
      </w:pPr>
      <w:r>
        <w:rPr>
          <w:rFonts w:ascii="Verdana" w:hAnsi="Verdana"/>
          <w:sz w:val="15"/>
          <w:szCs w:val="15"/>
          <w:u w:val="single"/>
        </w:rPr>
        <w:t>Accesso civico: definizioni</w:t>
      </w:r>
    </w:p>
    <w:p w14:paraId="58023D32" w14:textId="77777777" w:rsidR="00FD2DBC" w:rsidRDefault="00FD2DBC" w:rsidP="00FD2DBC">
      <w:pPr>
        <w:pStyle w:val="NormaleWeb"/>
        <w:spacing w:before="60" w:beforeAutospacing="0" w:after="60"/>
        <w:jc w:val="both"/>
      </w:pPr>
      <w:r>
        <w:rPr>
          <w:rFonts w:ascii="Verdana" w:hAnsi="Verdana"/>
          <w:sz w:val="15"/>
          <w:szCs w:val="15"/>
        </w:rPr>
        <w:t xml:space="preserve">1. Tra le novità introdotte dalle modifiche al D.Lgs. n. 33/2013 ad opera del D.Lgs 97/2016, una delle più importanti riguarda la riformulazione dell’accesso civico (nuovo art. 5). Ogni amministrazione è tenuta ad adottare, in piena autonomia le misure organizzative necessarie al fine di assicurare l’efficacia di tale istituto. </w:t>
      </w:r>
    </w:p>
    <w:p w14:paraId="68F2953B" w14:textId="77777777" w:rsidR="00FD2DBC" w:rsidRDefault="00FD2DBC" w:rsidP="00FD2DBC">
      <w:pPr>
        <w:pStyle w:val="NormaleWeb"/>
        <w:spacing w:before="60" w:beforeAutospacing="0" w:after="60"/>
        <w:jc w:val="both"/>
      </w:pPr>
      <w:r>
        <w:rPr>
          <w:rFonts w:ascii="Verdana" w:hAnsi="Verdana"/>
          <w:sz w:val="15"/>
          <w:szCs w:val="15"/>
        </w:rPr>
        <w:t xml:space="preserve">L’art. 5 del D.Lgs. n. 33/2013, modificato dall’art. 6 del D.Lgs. 97/2016, riconosce a chiunque: </w:t>
      </w:r>
    </w:p>
    <w:p w14:paraId="3D53F21E" w14:textId="77777777" w:rsidR="00FD2DBC" w:rsidRDefault="00FD2DBC" w:rsidP="00FD2DBC">
      <w:pPr>
        <w:pStyle w:val="NormaleWeb"/>
        <w:spacing w:before="60" w:beforeAutospacing="0" w:after="60"/>
        <w:jc w:val="both"/>
      </w:pPr>
      <w:r>
        <w:rPr>
          <w:rFonts w:ascii="Verdana" w:hAnsi="Verdana"/>
          <w:sz w:val="15"/>
          <w:szCs w:val="15"/>
        </w:rPr>
        <w:t xml:space="preserve">a) il diritto di richiedere alle Amministrazioni documenti, informazioni o dati per i quali è prevista la pubblicazione obbligatoria, nei casi in cui gli stessi non siano stati pubblicati nella sezione “Amministrazione trasparente” del sito web istituzionale (accesso civico “semplice”); </w:t>
      </w:r>
    </w:p>
    <w:p w14:paraId="587C4223" w14:textId="77777777" w:rsidR="00FD2DBC" w:rsidRDefault="00FD2DBC" w:rsidP="00FD2DBC">
      <w:pPr>
        <w:pStyle w:val="NormaleWeb"/>
        <w:spacing w:before="60" w:beforeAutospacing="0" w:after="60"/>
        <w:jc w:val="both"/>
      </w:pPr>
      <w:r>
        <w:rPr>
          <w:rFonts w:ascii="Verdana" w:hAnsi="Verdana"/>
          <w:sz w:val="15"/>
          <w:szCs w:val="15"/>
        </w:rPr>
        <w:t xml:space="preserve">b) il diritto di accedere ai dati e ai documenti detenuti dalle pubbliche amministrazioni, ulteriori rispetto a quelli oggetto di pubblicazione ai sensi del D.Lgs. 33/2013, nel rispetto dei limiti relativi alla tutela di interessi giuridicamente rilevanti secondo quanto previsto dall’art. 5-bis (accesso civico “generalizzato”). </w:t>
      </w:r>
    </w:p>
    <w:p w14:paraId="32021F5E" w14:textId="77777777" w:rsidR="00FD2DBC" w:rsidRDefault="00FD2DBC" w:rsidP="00FD2DBC">
      <w:pPr>
        <w:pStyle w:val="NormaleWeb"/>
        <w:spacing w:before="60" w:beforeAutospacing="0" w:after="60"/>
        <w:jc w:val="both"/>
      </w:pPr>
      <w:r>
        <w:rPr>
          <w:rFonts w:ascii="Verdana" w:hAnsi="Verdana"/>
          <w:sz w:val="15"/>
          <w:szCs w:val="15"/>
        </w:rPr>
        <w:t>La richiesta di accesso civico di cui ai commi 1 e 2 dell’art. 5 del D.Lgs. 33/2013 non è sottoposta ad alcuna limitazione quanto alla legittimazione soggettiva del richiedente e non deve essere motivata. L’istanza di accesso civico identifica i dati, le informazioni o i documenti richiesti. Il rilascio di dati o documenti in formato elettronico o cartaceo è gratuito, salvo il rimborso del costo effettivamente sostenuto e documentato dall’amministrazione per la riproduzione su supporti materiali. </w:t>
      </w:r>
    </w:p>
    <w:p w14:paraId="167A2D25" w14:textId="77777777" w:rsidR="00FD2DBC" w:rsidRDefault="00FD2DBC" w:rsidP="00FD2DBC">
      <w:pPr>
        <w:pStyle w:val="NormaleWeb"/>
        <w:spacing w:before="60" w:beforeAutospacing="0" w:after="60"/>
        <w:jc w:val="both"/>
      </w:pPr>
      <w:r>
        <w:rPr>
          <w:rFonts w:ascii="Verdana" w:hAnsi="Verdana"/>
          <w:sz w:val="15"/>
          <w:szCs w:val="15"/>
        </w:rPr>
        <w:t> </w:t>
      </w:r>
    </w:p>
    <w:p w14:paraId="6822AFAB" w14:textId="77777777" w:rsidR="00FD2DBC" w:rsidRDefault="00FD2DBC" w:rsidP="00FD2DBC">
      <w:pPr>
        <w:pStyle w:val="NormaleWeb"/>
        <w:spacing w:before="60" w:beforeAutospacing="0" w:after="60"/>
        <w:jc w:val="both"/>
      </w:pPr>
      <w:r>
        <w:rPr>
          <w:rFonts w:ascii="Verdana" w:hAnsi="Verdana"/>
          <w:sz w:val="15"/>
          <w:szCs w:val="15"/>
          <w:u w:val="single"/>
        </w:rPr>
        <w:t>Accesso civico semplice (art. 5 comma 1 D.Lgs 33/2013 e ss.mm)</w:t>
      </w:r>
    </w:p>
    <w:p w14:paraId="15BA1B0D" w14:textId="77777777" w:rsidR="00FD2DBC" w:rsidRDefault="00FD2DBC" w:rsidP="00FD2DBC">
      <w:pPr>
        <w:pStyle w:val="NormaleWeb"/>
        <w:spacing w:before="60" w:beforeAutospacing="0" w:after="60"/>
        <w:jc w:val="both"/>
      </w:pPr>
      <w:r>
        <w:rPr>
          <w:rFonts w:ascii="Verdana" w:hAnsi="Verdana"/>
          <w:sz w:val="15"/>
          <w:szCs w:val="15"/>
        </w:rPr>
        <w:t xml:space="preserve">L’istanza di accesso civico semplice va presentata al Responsabile della Trasparenza utilizzando, preferibilmente, il modulo predisposto dall’ente e pubblicato nella sezione “Amministrazione trasparente”, sottosezione “Altri contenuti/Accesso civico”. </w:t>
      </w:r>
    </w:p>
    <w:p w14:paraId="1FAC72BA" w14:textId="77777777" w:rsidR="00FD2DBC" w:rsidRDefault="00FD2DBC" w:rsidP="00FD2DBC">
      <w:pPr>
        <w:pStyle w:val="NormaleWeb"/>
        <w:spacing w:before="60" w:beforeAutospacing="0" w:after="60"/>
        <w:jc w:val="both"/>
      </w:pPr>
      <w:r>
        <w:rPr>
          <w:rFonts w:ascii="Verdana" w:hAnsi="Verdana"/>
          <w:sz w:val="15"/>
          <w:szCs w:val="15"/>
        </w:rPr>
        <w:t xml:space="preserve">Entro 30 giorni dalla richiesta il Responsabile della Trasparenza deve: </w:t>
      </w:r>
    </w:p>
    <w:p w14:paraId="35BA1B78" w14:textId="77777777" w:rsidR="00FD2DBC" w:rsidRDefault="00FD2DBC" w:rsidP="00FD2DBC">
      <w:pPr>
        <w:pStyle w:val="NormaleWeb"/>
        <w:spacing w:before="60" w:beforeAutospacing="0" w:after="60"/>
        <w:jc w:val="both"/>
      </w:pPr>
      <w:r>
        <w:rPr>
          <w:rFonts w:ascii="Verdana" w:hAnsi="Verdana"/>
          <w:sz w:val="15"/>
          <w:szCs w:val="15"/>
        </w:rPr>
        <w:t xml:space="preserve">-procedere alla pubblicazione sul sito istituzionale del documento, dell’informazione o dei dati richiesti; </w:t>
      </w:r>
    </w:p>
    <w:p w14:paraId="3FBC9286" w14:textId="77777777" w:rsidR="00FD2DBC" w:rsidRDefault="00FD2DBC" w:rsidP="00FD2DBC">
      <w:pPr>
        <w:pStyle w:val="NormaleWeb"/>
        <w:spacing w:before="60" w:beforeAutospacing="0" w:after="60"/>
        <w:jc w:val="both"/>
      </w:pPr>
      <w:r>
        <w:rPr>
          <w:rFonts w:ascii="Verdana" w:hAnsi="Verdana"/>
          <w:sz w:val="15"/>
          <w:szCs w:val="15"/>
        </w:rPr>
        <w:t xml:space="preserve">-trasmettere contestualmente il dato al richiedente, ovvero comunicargli l’avvenuta pubblicazione, indicando il collegamento ipertestuale. </w:t>
      </w:r>
    </w:p>
    <w:p w14:paraId="404E06E8" w14:textId="77777777" w:rsidR="00FD2DBC" w:rsidRDefault="00FD2DBC" w:rsidP="00FD2DBC">
      <w:pPr>
        <w:pStyle w:val="NormaleWeb"/>
        <w:spacing w:before="60" w:beforeAutospacing="0" w:after="60"/>
        <w:jc w:val="both"/>
      </w:pPr>
      <w:r>
        <w:rPr>
          <w:rFonts w:ascii="Verdana" w:hAnsi="Verdana"/>
          <w:sz w:val="15"/>
          <w:szCs w:val="15"/>
        </w:rPr>
        <w:t xml:space="preserve">In relazione alla loro gravità il Responsabile della Trasparenza ai sensi dell’art. 43 comma 5 del D.Lgs 33/2013 segnala i casi di inadempimento di cui all’accesso civico semplice </w:t>
      </w:r>
    </w:p>
    <w:p w14:paraId="0C6BBF29" w14:textId="77777777" w:rsidR="00FD2DBC" w:rsidRDefault="00FD2DBC" w:rsidP="00FD2DBC">
      <w:pPr>
        <w:pStyle w:val="NormaleWeb"/>
        <w:spacing w:before="60" w:beforeAutospacing="0" w:after="60"/>
        <w:jc w:val="both"/>
      </w:pPr>
      <w:r>
        <w:rPr>
          <w:rFonts w:ascii="Verdana" w:hAnsi="Verdana"/>
          <w:sz w:val="15"/>
          <w:szCs w:val="15"/>
        </w:rPr>
        <w:t>In caso di ritardo o mancata risposta o diniego da parte del Responsabile della Trasparenza il richiedente può ricorrere al titolare del potere sostitutivo di cui all’art. 2, comma 9 bis, della L. n. 241/1990, il cui nominativo è pubblicato sul sito web dell'ente, che conclude il procedimento di accesso civico semplice entro i termini di cui all’art. 2, comma 9-ter, della L. 241/1990. 5. A fronte dell’inerzia da parte del Responsabile della Trasparenza o del titolare del potere sostitutivo, il richiedente può proporre ricorso al T.A.R. ai sensi dell’art. 116 del D.Lgs. 104/2010 “Codice del processo amministrativo”. </w:t>
      </w:r>
    </w:p>
    <w:p w14:paraId="1C91494F" w14:textId="77777777" w:rsidR="00FD2DBC" w:rsidRDefault="00FD2DBC" w:rsidP="00FD2DBC">
      <w:pPr>
        <w:pStyle w:val="NormaleWeb"/>
        <w:spacing w:before="60" w:beforeAutospacing="0" w:after="60"/>
        <w:jc w:val="both"/>
      </w:pPr>
      <w:r>
        <w:rPr>
          <w:rFonts w:ascii="Verdana" w:hAnsi="Verdana"/>
          <w:sz w:val="15"/>
          <w:szCs w:val="15"/>
        </w:rPr>
        <w:t> </w:t>
      </w:r>
    </w:p>
    <w:p w14:paraId="0CB62522" w14:textId="77777777" w:rsidR="00FD2DBC" w:rsidRDefault="00FD2DBC" w:rsidP="00FD2DBC">
      <w:pPr>
        <w:pStyle w:val="NormaleWeb"/>
        <w:spacing w:before="60" w:beforeAutospacing="0" w:after="60"/>
        <w:jc w:val="both"/>
      </w:pPr>
      <w:r>
        <w:rPr>
          <w:rFonts w:ascii="Verdana" w:hAnsi="Verdana"/>
          <w:sz w:val="15"/>
          <w:szCs w:val="15"/>
          <w:u w:val="single"/>
        </w:rPr>
        <w:t>Accesso civico generalizzato</w:t>
      </w:r>
    </w:p>
    <w:p w14:paraId="42BB3D21" w14:textId="77777777" w:rsidR="00FD2DBC" w:rsidRDefault="00FD2DBC" w:rsidP="00FD2DBC">
      <w:pPr>
        <w:pStyle w:val="NormaleWeb"/>
        <w:spacing w:before="60" w:beforeAutospacing="0" w:after="60"/>
        <w:jc w:val="both"/>
      </w:pPr>
      <w:r>
        <w:rPr>
          <w:rFonts w:ascii="Verdana" w:hAnsi="Verdana"/>
          <w:sz w:val="15"/>
          <w:szCs w:val="15"/>
        </w:rPr>
        <w:lastRenderedPageBreak/>
        <w:t>L’istanza di accesso civico generalizzato va presentata all’Ufficio comunale che detiene i dati o i documenti utilizzando, preferibilmente, il modulo predisposto dall’ente e pubblicato nella sezione “Amministrazione trasparente”, sottosezione “Altri contenuti/Accesso civico”. </w:t>
      </w:r>
    </w:p>
    <w:p w14:paraId="2424E22C" w14:textId="77777777" w:rsidR="00FD2DBC" w:rsidRDefault="00FD2DBC" w:rsidP="00FD2DBC">
      <w:pPr>
        <w:pStyle w:val="NormaleWeb"/>
        <w:spacing w:before="60" w:beforeAutospacing="0" w:after="60"/>
        <w:jc w:val="both"/>
      </w:pPr>
      <w:r>
        <w:rPr>
          <w:rFonts w:ascii="Verdana" w:hAnsi="Verdana"/>
          <w:sz w:val="15"/>
          <w:szCs w:val="15"/>
        </w:rPr>
        <w:t xml:space="preserve">Il procedimento deve concludersi con provvedimento espresso e motivato entro 30 giorni dalla presentazione dell’istanza, con la comunicazione dell’esito al richiedente ed agli eventuali controinteressati. Tali termini sono sospesi (fino ad un massimo di 10 giorni) nel caso di comunicazione della richiesta al controinteressato. </w:t>
      </w:r>
    </w:p>
    <w:p w14:paraId="36057AE4" w14:textId="77777777" w:rsidR="00FD2DBC" w:rsidRDefault="00FD2DBC" w:rsidP="00FD2DBC">
      <w:pPr>
        <w:pStyle w:val="NormaleWeb"/>
        <w:spacing w:before="60" w:beforeAutospacing="0" w:after="60"/>
        <w:jc w:val="both"/>
      </w:pPr>
      <w:r>
        <w:rPr>
          <w:rFonts w:ascii="Verdana" w:hAnsi="Verdana"/>
          <w:sz w:val="15"/>
          <w:szCs w:val="15"/>
        </w:rPr>
        <w:t xml:space="preserve">Qualora l’Ufficio comunale competente individui soggetti controinteressati nei confronti dei quali la divulgazione dei dati o documenti oggetto di richiesta di accesso possa comportare un pregiudizio ad uno degli interessi individuati dall’art. 5-bis, comma 2, è tenuto a darne comunicazione agli stessi, mediante invio di copia della richiesta. Entro 10 giorni i controinteressati possono presentare una motivata opposizione alla richiesta di accesso; decorso tale termine l’Ufficio comunale competente provvede sulla richiesta, accertata la ricezione della comunicazione da parte del controinteressato. In caso di accoglimento l’Ufficio comunale competente provvederà a trasmettere tempestivamente al richiedente i dati o i documenti richiesti. Nel caso in cui l’accesso generalizzato sia consentito nonostante l’opposizione del controinteressato, i dati o i documenti richiesti possono essere trasmessi al richiedente non prima di 15 giorni dalla ricezione della stessa comunicazione da parte del controinteressato. </w:t>
      </w:r>
    </w:p>
    <w:p w14:paraId="0B484C8E" w14:textId="77777777" w:rsidR="00FD2DBC" w:rsidRDefault="00FD2DBC" w:rsidP="00FD2DBC">
      <w:pPr>
        <w:pStyle w:val="NormaleWeb"/>
        <w:spacing w:before="60" w:beforeAutospacing="0" w:after="60"/>
        <w:jc w:val="both"/>
      </w:pPr>
      <w:r>
        <w:rPr>
          <w:rFonts w:ascii="Verdana" w:hAnsi="Verdana"/>
          <w:sz w:val="15"/>
          <w:szCs w:val="15"/>
        </w:rPr>
        <w:t xml:space="preserve">Nei casi di diniego totale o parziale della richiesta di accesso generalizzato o di mancata risposta entro il termine di 30 giorni dalla presentazione dell’istanza il richiedente può: </w:t>
      </w:r>
    </w:p>
    <w:p w14:paraId="6FADA140" w14:textId="77777777" w:rsidR="00FD2DBC" w:rsidRDefault="00FD2DBC" w:rsidP="00FD2DBC">
      <w:pPr>
        <w:pStyle w:val="NormaleWeb"/>
        <w:spacing w:before="60" w:beforeAutospacing="0" w:after="60"/>
        <w:jc w:val="both"/>
      </w:pPr>
      <w:r>
        <w:rPr>
          <w:rFonts w:ascii="Verdana" w:hAnsi="Verdana"/>
          <w:sz w:val="15"/>
          <w:szCs w:val="15"/>
        </w:rPr>
        <w:t>a) richiedere il riesame al Responsabile della trasparenza, che decide entro 20 giorni con provvedimento motivato; </w:t>
      </w:r>
    </w:p>
    <w:p w14:paraId="731000E5" w14:textId="77777777" w:rsidR="00FD2DBC" w:rsidRDefault="00FD2DBC" w:rsidP="00FD2DBC">
      <w:pPr>
        <w:pStyle w:val="NormaleWeb"/>
        <w:spacing w:before="60" w:beforeAutospacing="0" w:after="60"/>
        <w:jc w:val="both"/>
      </w:pPr>
      <w:r>
        <w:rPr>
          <w:rFonts w:ascii="Verdana" w:hAnsi="Verdana"/>
          <w:sz w:val="15"/>
          <w:szCs w:val="15"/>
        </w:rPr>
        <w:t xml:space="preserve">b) ricorrere al difensore civico competente territorialmente, ove costituito, o, in assenza, a quello competente per l’ambito territoriale immediatamente superiore. In tal caso, il ricorso deve comunque essere notificato anche all’mministrazione interessata. Il difensore civico si pronuncia entro 30 giorni dalla presentazione del ricorso. Se il difensore civico ritiene illegittimo il diniego o il differimento, ne informa il richiedente e lo comunica all’Amministrazione. Se questa non conferma il diniego o il differimento entro 30 giorni da tale comunicazione, l’accesso è consentito; </w:t>
      </w:r>
    </w:p>
    <w:p w14:paraId="47FF39B7" w14:textId="77777777" w:rsidR="00FD2DBC" w:rsidRDefault="00FD2DBC" w:rsidP="00FD2DBC">
      <w:pPr>
        <w:pStyle w:val="NormaleWeb"/>
        <w:spacing w:before="60" w:beforeAutospacing="0" w:after="60"/>
        <w:jc w:val="both"/>
      </w:pPr>
      <w:r>
        <w:rPr>
          <w:rFonts w:ascii="Verdana" w:hAnsi="Verdana"/>
          <w:sz w:val="15"/>
          <w:szCs w:val="15"/>
        </w:rPr>
        <w:t>c) attivare la tutela giurisdizionale davati al T.A.R., ai sensi dell’art. 116 del D.Lgs. 104/2010 “Codice del processo amministrativo”.</w:t>
      </w:r>
    </w:p>
    <w:p w14:paraId="25560A4F" w14:textId="77777777" w:rsidR="00FD2DBC" w:rsidRDefault="00FD2DBC" w:rsidP="00FD2DBC">
      <w:pPr>
        <w:pStyle w:val="NormaleWeb"/>
        <w:spacing w:before="60" w:beforeAutospacing="0" w:after="60"/>
        <w:jc w:val="both"/>
      </w:pPr>
      <w:r>
        <w:rPr>
          <w:rFonts w:ascii="Verdana" w:hAnsi="Verdana"/>
          <w:sz w:val="15"/>
          <w:szCs w:val="15"/>
        </w:rPr>
        <w:t>Nei casi di accoglimento della richiesta di accesso, il controinteressato può presentare richiesta di riesame al Responsabile della TrAsparenza e presentare ricorso al difensore civico ai sensi del comma 8, dell’art. 5 del D.Lgs. 33/2013. Avverso la decisione dell’Amministrazione ovvero a quella del Responsabile della trasparenza, il controinteressato può proporre ricorso al al T.A.R., ai sensi dell’art. 116 del D.Lgs. 104/2010 “Codice del processo amministrativo”. </w:t>
      </w:r>
    </w:p>
    <w:p w14:paraId="70D63098" w14:textId="77777777" w:rsidR="00FD2DBC" w:rsidRDefault="00FD2DBC" w:rsidP="00FD2DBC">
      <w:pPr>
        <w:pStyle w:val="NormaleWeb"/>
        <w:spacing w:before="60" w:beforeAutospacing="0" w:after="60"/>
        <w:jc w:val="both"/>
      </w:pPr>
      <w:r>
        <w:rPr>
          <w:rFonts w:ascii="Verdana" w:hAnsi="Verdana"/>
          <w:sz w:val="15"/>
          <w:szCs w:val="15"/>
          <w:u w:val="single"/>
        </w:rPr>
        <w:t> </w:t>
      </w:r>
    </w:p>
    <w:p w14:paraId="64132463" w14:textId="77777777" w:rsidR="00FD2DBC" w:rsidRDefault="00FD2DBC" w:rsidP="00FD2DBC">
      <w:pPr>
        <w:pStyle w:val="NormaleWeb"/>
        <w:spacing w:before="60" w:beforeAutospacing="0" w:after="60"/>
        <w:jc w:val="both"/>
      </w:pPr>
      <w:r>
        <w:rPr>
          <w:rFonts w:ascii="Verdana" w:hAnsi="Verdana"/>
          <w:sz w:val="15"/>
          <w:szCs w:val="15"/>
        </w:rPr>
        <w:t> </w:t>
      </w:r>
    </w:p>
    <w:p w14:paraId="4D67DCD4" w14:textId="77777777" w:rsidR="00FD2DBC" w:rsidRDefault="00FD2DBC" w:rsidP="00FD2DBC">
      <w:pPr>
        <w:pStyle w:val="NormaleWeb"/>
        <w:spacing w:before="60" w:beforeAutospacing="0" w:after="60"/>
        <w:jc w:val="both"/>
      </w:pPr>
      <w:r>
        <w:rPr>
          <w:rStyle w:val="Enfasigrassetto"/>
          <w:rFonts w:ascii="Verdana" w:hAnsi="Verdana"/>
          <w:sz w:val="27"/>
          <w:szCs w:val="27"/>
        </w:rPr>
        <w:t>7. Altre iniziative</w:t>
      </w:r>
    </w:p>
    <w:p w14:paraId="248F9C51" w14:textId="77777777" w:rsidR="00FD2DBC" w:rsidRDefault="00FD2DBC" w:rsidP="00FD2DBC">
      <w:pPr>
        <w:pStyle w:val="NormaleWeb"/>
        <w:spacing w:before="60" w:beforeAutospacing="0" w:after="60"/>
        <w:jc w:val="both"/>
      </w:pPr>
      <w:r>
        <w:rPr>
          <w:rFonts w:ascii="Verdana" w:hAnsi="Verdana"/>
          <w:sz w:val="15"/>
          <w:szCs w:val="15"/>
        </w:rPr>
        <w:t>Il coacervo di misure introdotte per la prevenzione dei singoli rischi rilevati in sede di mappatura costituisce primario riferimento per una gestione delle situazioni in cui si è individuata la possibilità di malfunzionamenti dell’amministrazione a causa dell’utilizzo a fini privati di funzioni pubbliche.</w:t>
      </w:r>
    </w:p>
    <w:p w14:paraId="346C8719" w14:textId="77777777" w:rsidR="00FD2DBC" w:rsidRDefault="00FD2DBC" w:rsidP="00FD2DBC">
      <w:pPr>
        <w:pStyle w:val="NormaleWeb"/>
        <w:spacing w:before="60" w:beforeAutospacing="0" w:after="60"/>
        <w:jc w:val="both"/>
      </w:pPr>
      <w:r>
        <w:rPr>
          <w:rFonts w:ascii="Verdana" w:hAnsi="Verdana"/>
          <w:sz w:val="15"/>
          <w:szCs w:val="15"/>
        </w:rPr>
        <w:t>Tuttavia, al fine di conseguire concretamente un approccio sistemico al problema, è prevista l’adozione di una serie di ulteriori iniziative che consentono una trattazione del rischio in maniera sempre più olistica, con il coinvolgimento coerente di tutto l’Ente.</w:t>
      </w:r>
    </w:p>
    <w:p w14:paraId="4287A259" w14:textId="77777777" w:rsidR="00FD2DBC" w:rsidRDefault="00FD2DBC" w:rsidP="00FD2DBC">
      <w:pPr>
        <w:pStyle w:val="NormaleWeb"/>
        <w:spacing w:before="60" w:beforeAutospacing="0" w:after="60"/>
        <w:jc w:val="both"/>
      </w:pPr>
      <w:r>
        <w:rPr>
          <w:rStyle w:val="Enfasigrassetto"/>
          <w:rFonts w:ascii="Verdana" w:hAnsi="Verdana"/>
          <w:sz w:val="15"/>
          <w:szCs w:val="15"/>
        </w:rPr>
        <w:t>7.1 Indicazione dei criteri di rotazione del personale</w:t>
      </w:r>
    </w:p>
    <w:p w14:paraId="686C091F" w14:textId="77777777" w:rsidR="00FD2DBC" w:rsidRDefault="00FD2DBC" w:rsidP="00FD2DBC">
      <w:pPr>
        <w:pStyle w:val="NormaleWeb"/>
        <w:spacing w:before="60" w:beforeAutospacing="0" w:after="60"/>
        <w:jc w:val="both"/>
      </w:pPr>
      <w:r>
        <w:rPr>
          <w:rFonts w:ascii="Verdana" w:hAnsi="Verdana"/>
          <w:sz w:val="15"/>
          <w:szCs w:val="15"/>
        </w:rPr>
        <w:t>La rotazione del personale addetto alle aree a più elevato rischio di corruzione rappresenta una misura di importanza cruciale tra gli strumenti di prevenzione della corruzione e l'esigenza del ricorso a questo sistema è stata sottolineata anche a livello internazionale.</w:t>
      </w:r>
    </w:p>
    <w:p w14:paraId="13A6CD78" w14:textId="77777777" w:rsidR="00FD2DBC" w:rsidRDefault="00FD2DBC" w:rsidP="00FD2DBC">
      <w:pPr>
        <w:pStyle w:val="NormaleWeb"/>
        <w:spacing w:before="60" w:beforeAutospacing="0" w:after="60"/>
        <w:jc w:val="both"/>
      </w:pPr>
      <w:r>
        <w:rPr>
          <w:rFonts w:ascii="Verdana" w:hAnsi="Verdana"/>
          <w:sz w:val="15"/>
          <w:szCs w:val="15"/>
        </w:rPr>
        <w:t>L'alternanza tra più professionisti nell'assunzione delle decisioni e nella gestione delle procedure, infatti riduce il rischio che possano crearsi relazioni particolari tra amministrazioni ed utenti, con il conseguente consolidarsi di situazioni di privilegio e l'aspettativa a risposte illegali improntate a collusione.</w:t>
      </w:r>
    </w:p>
    <w:p w14:paraId="01253AF5" w14:textId="77777777" w:rsidR="00FD2DBC" w:rsidRDefault="00FD2DBC" w:rsidP="00FD2DBC">
      <w:pPr>
        <w:pStyle w:val="NormaleWeb"/>
        <w:spacing w:before="60" w:beforeAutospacing="0" w:after="60"/>
        <w:jc w:val="both"/>
      </w:pPr>
      <w:r>
        <w:rPr>
          <w:rFonts w:ascii="Verdana" w:hAnsi="Verdana"/>
          <w:sz w:val="15"/>
          <w:szCs w:val="15"/>
        </w:rPr>
        <w:t>Come previsto nel piano nazionale anticorruzione, L'Amministrazione ritiene che la rotazione del personale causerebbe inefficienza dell'azione amministrativa tale da precludere in alcuni casi la possibilità di erogare in maniera ottimale i servizi ai cittadini.</w:t>
      </w:r>
    </w:p>
    <w:p w14:paraId="0C536BA0" w14:textId="77777777" w:rsidR="00FD2DBC" w:rsidRDefault="00FD2DBC" w:rsidP="00FD2DBC">
      <w:pPr>
        <w:pStyle w:val="NormaleWeb"/>
        <w:spacing w:before="60" w:beforeAutospacing="0" w:after="60"/>
        <w:jc w:val="both"/>
      </w:pPr>
      <w:r>
        <w:rPr>
          <w:rFonts w:ascii="Verdana" w:hAnsi="Verdana"/>
          <w:sz w:val="15"/>
          <w:szCs w:val="15"/>
        </w:rPr>
        <w:t>Tale scelta deriva dalle seguenti motivazioni: carenza di personale.</w:t>
      </w:r>
    </w:p>
    <w:p w14:paraId="77548974" w14:textId="77777777" w:rsidR="00FD2DBC" w:rsidRDefault="00FD2DBC" w:rsidP="00FD2DBC">
      <w:pPr>
        <w:pStyle w:val="NormaleWeb"/>
        <w:spacing w:before="60" w:beforeAutospacing="0" w:after="60"/>
        <w:jc w:val="both"/>
      </w:pPr>
      <w:r>
        <w:rPr>
          <w:rFonts w:ascii="Verdana" w:hAnsi="Verdana"/>
          <w:sz w:val="15"/>
          <w:szCs w:val="15"/>
        </w:rPr>
        <w:t>In virtù delle considerazioni sopra esposte l'Amministrazione ritiene opportuno non applicare nessuna rotazione del personale.</w:t>
      </w:r>
    </w:p>
    <w:p w14:paraId="012A128E" w14:textId="77777777" w:rsidR="00FD2DBC" w:rsidRDefault="00FD2DBC" w:rsidP="00FD2DBC">
      <w:pPr>
        <w:pStyle w:val="NormaleWeb"/>
        <w:spacing w:before="60" w:beforeAutospacing="0" w:after="60"/>
        <w:jc w:val="both"/>
      </w:pPr>
      <w:r>
        <w:rPr>
          <w:rFonts w:ascii="Verdana" w:hAnsi="Verdana"/>
          <w:sz w:val="15"/>
          <w:szCs w:val="15"/>
        </w:rPr>
        <w:t> </w:t>
      </w:r>
    </w:p>
    <w:p w14:paraId="46168091" w14:textId="77777777" w:rsidR="00FD2DBC" w:rsidRDefault="00FD2DBC" w:rsidP="00FD2DBC">
      <w:pPr>
        <w:pStyle w:val="NormaleWeb"/>
        <w:spacing w:before="60" w:beforeAutospacing="0" w:after="60"/>
        <w:jc w:val="both"/>
      </w:pPr>
      <w:r>
        <w:rPr>
          <w:rStyle w:val="Enfasigrassetto"/>
          <w:rFonts w:ascii="Verdana" w:hAnsi="Verdana"/>
          <w:sz w:val="15"/>
          <w:szCs w:val="15"/>
        </w:rPr>
        <w:t>7.2 Indicazione delle disposizioni relative al ricorso all’arbitrato con modalità che ne assicurino la pubblicità e la rotazione</w:t>
      </w:r>
    </w:p>
    <w:p w14:paraId="684F103E" w14:textId="77777777" w:rsidR="00FD2DBC" w:rsidRDefault="00FD2DBC" w:rsidP="00FD2DBC">
      <w:pPr>
        <w:pStyle w:val="NormaleWeb"/>
        <w:spacing w:before="60" w:beforeAutospacing="0" w:after="60"/>
        <w:jc w:val="both"/>
      </w:pPr>
      <w:r>
        <w:rPr>
          <w:rFonts w:ascii="Verdana" w:hAnsi="Verdana"/>
          <w:sz w:val="15"/>
          <w:szCs w:val="15"/>
        </w:rPr>
        <w:t>L’art. 1, comma 19, della L. n. 190/2012 che ha sostituito il comma 1, dell’articolo 241 del codice di cui al D.Lgs. 12 aprile 2006, n. 163, testualmente dispone: </w:t>
      </w:r>
    </w:p>
    <w:p w14:paraId="3C2F1076" w14:textId="77777777" w:rsidR="00FD2DBC" w:rsidRDefault="00FD2DBC" w:rsidP="00FD2DBC">
      <w:pPr>
        <w:pStyle w:val="NormaleWeb"/>
        <w:spacing w:before="60" w:beforeAutospacing="0" w:after="60"/>
        <w:jc w:val="both"/>
      </w:pPr>
      <w:r>
        <w:rPr>
          <w:rStyle w:val="Enfasicorsivo"/>
          <w:rFonts w:ascii="Verdana" w:hAnsi="Verdana"/>
          <w:sz w:val="15"/>
          <w:szCs w:val="15"/>
        </w:rPr>
        <w:t>«Le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p>
    <w:p w14:paraId="749754F5" w14:textId="77777777" w:rsidR="00FD2DBC" w:rsidRDefault="00FD2DBC" w:rsidP="00FD2DBC">
      <w:pPr>
        <w:pStyle w:val="NormaleWeb"/>
        <w:spacing w:before="60" w:beforeAutospacing="0" w:after="60"/>
        <w:jc w:val="both"/>
      </w:pPr>
      <w:r>
        <w:rPr>
          <w:rFonts w:ascii="Verdana" w:hAnsi="Verdana"/>
          <w:sz w:val="15"/>
          <w:szCs w:val="15"/>
        </w:rPr>
        <w:t>Inoltre, occorre tenere in debita considerazione i seguenti commi sempre dell’art. 1 della l. n. 190/2012: </w:t>
      </w:r>
      <w:r>
        <w:rPr>
          <w:rFonts w:ascii="Verdana" w:hAnsi="Verdana"/>
          <w:sz w:val="15"/>
          <w:szCs w:val="15"/>
        </w:rPr>
        <w:br/>
      </w:r>
      <w:r>
        <w:rPr>
          <w:rStyle w:val="Enfasicorsivo"/>
          <w:rFonts w:ascii="Verdana" w:hAnsi="Verdana"/>
          <w:sz w:val="15"/>
          <w:szCs w:val="15"/>
        </w:rPr>
        <w:t>«21.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 </w:t>
      </w:r>
      <w:r>
        <w:rPr>
          <w:rFonts w:ascii="Verdana" w:hAnsi="Verdana"/>
          <w:sz w:val="15"/>
          <w:szCs w:val="15"/>
        </w:rPr>
        <w:t xml:space="preserve"> </w:t>
      </w:r>
    </w:p>
    <w:p w14:paraId="6CA32FE4" w14:textId="77777777" w:rsidR="00FD2DBC" w:rsidRDefault="00FD2DBC" w:rsidP="00FD2DBC">
      <w:pPr>
        <w:pStyle w:val="NormaleWeb"/>
        <w:spacing w:before="60" w:beforeAutospacing="0" w:after="60"/>
        <w:jc w:val="both"/>
      </w:pPr>
      <w:r>
        <w:rPr>
          <w:rStyle w:val="Enfasicorsivo"/>
          <w:rFonts w:ascii="Verdana" w:hAnsi="Verdana"/>
          <w:sz w:val="15"/>
          <w:szCs w:val="15"/>
        </w:rPr>
        <w:lastRenderedPageBreak/>
        <w:t>22. Qualora la controversia si svolga tra due pubbliche amministrazioni, gli arbitri di parte sono individuati esclusivamente tra dirigenti pubblici. </w:t>
      </w:r>
    </w:p>
    <w:p w14:paraId="4B712574" w14:textId="77777777" w:rsidR="00FD2DBC" w:rsidRDefault="00FD2DBC" w:rsidP="00FD2DBC">
      <w:pPr>
        <w:pStyle w:val="NormaleWeb"/>
        <w:spacing w:before="60" w:beforeAutospacing="0" w:after="60"/>
        <w:jc w:val="both"/>
      </w:pPr>
      <w:r>
        <w:rPr>
          <w:rStyle w:val="Enfasicorsivo"/>
          <w:rFonts w:ascii="Verdana" w:hAnsi="Verdana"/>
          <w:sz w:val="15"/>
          <w:szCs w:val="15"/>
        </w:rPr>
        <w:t>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 </w:t>
      </w:r>
    </w:p>
    <w:p w14:paraId="4EB6B512" w14:textId="77777777" w:rsidR="00FD2DBC" w:rsidRDefault="00FD2DBC" w:rsidP="00FD2DBC">
      <w:pPr>
        <w:pStyle w:val="NormaleWeb"/>
        <w:spacing w:before="60" w:beforeAutospacing="0" w:after="60"/>
        <w:jc w:val="both"/>
      </w:pPr>
      <w:r>
        <w:rPr>
          <w:rStyle w:val="Enfasicorsivo"/>
          <w:rFonts w:ascii="Verdana" w:hAnsi="Verdana"/>
          <w:sz w:val="15"/>
          <w:szCs w:val="15"/>
        </w:rPr>
        <w:t>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 </w:t>
      </w:r>
    </w:p>
    <w:p w14:paraId="524D5CE3" w14:textId="77777777" w:rsidR="00FD2DBC" w:rsidRDefault="00FD2DBC" w:rsidP="00FD2DBC">
      <w:pPr>
        <w:pStyle w:val="NormaleWeb"/>
        <w:spacing w:before="60" w:beforeAutospacing="0" w:after="60"/>
        <w:jc w:val="both"/>
      </w:pPr>
      <w:r>
        <w:rPr>
          <w:rStyle w:val="Enfasicorsivo"/>
          <w:rFonts w:ascii="Verdana" w:hAnsi="Verdana"/>
          <w:sz w:val="15"/>
          <w:szCs w:val="15"/>
        </w:rPr>
        <w:t>25. Le disposizioni di cui ai commi da 19 a 24 non si applicano agli arbitrati conferiti o autorizzati prima della data di entrata in vigore della presente legge.» </w:t>
      </w:r>
    </w:p>
    <w:p w14:paraId="7CF15923" w14:textId="77777777" w:rsidR="00FD2DBC" w:rsidRDefault="00FD2DBC" w:rsidP="00FD2DBC">
      <w:pPr>
        <w:pStyle w:val="NormaleWeb"/>
        <w:spacing w:before="60" w:beforeAutospacing="0" w:after="60"/>
        <w:jc w:val="both"/>
      </w:pPr>
      <w:r>
        <w:rPr>
          <w:rFonts w:ascii="Verdana" w:hAnsi="Verdana"/>
          <w:sz w:val="15"/>
          <w:szCs w:val="15"/>
        </w:rPr>
        <w:t>Nel sito istituzionale dell’amministrazione comunale, nella home page, verrà data immediata pubblicità della persona nominata arbitro delle eventuali controversie in cui sia parte l’amministrazione stessa. Tale avviso pubblico riporterà anche tutte le eventuali precedenti nomine di arbitri per verificare il rispetto del principio di rotazione.</w:t>
      </w:r>
    </w:p>
    <w:p w14:paraId="51F58A67" w14:textId="77777777" w:rsidR="00FD2DBC" w:rsidRDefault="00FD2DBC" w:rsidP="00FD2DBC">
      <w:pPr>
        <w:spacing w:before="60" w:after="60" w:line="240" w:lineRule="auto"/>
        <w:divId w:val="1335377944"/>
        <w:rPr>
          <w:rFonts w:eastAsia="Times New Roman"/>
        </w:rPr>
      </w:pPr>
      <w:r>
        <w:rPr>
          <w:rFonts w:ascii="Verdana" w:eastAsia="Times New Roman" w:hAnsi="Verdana"/>
          <w:sz w:val="18"/>
          <w:szCs w:val="18"/>
        </w:rPr>
        <w:t> </w:t>
      </w:r>
      <w:r>
        <w:rPr>
          <w:rFonts w:eastAsia="Times New Roman"/>
        </w:rPr>
        <w:t xml:space="preserve"> </w:t>
      </w:r>
    </w:p>
    <w:p w14:paraId="53CB6077" w14:textId="77777777" w:rsidR="00FD2DBC" w:rsidRDefault="00FD2DBC" w:rsidP="00FD2DBC">
      <w:pPr>
        <w:pStyle w:val="NormaleWeb"/>
        <w:spacing w:before="60" w:beforeAutospacing="0" w:after="60"/>
        <w:jc w:val="both"/>
        <w:divId w:val="1335377944"/>
        <w:rPr>
          <w:rFonts w:eastAsiaTheme="minorEastAsia"/>
        </w:rPr>
      </w:pPr>
      <w:r>
        <w:rPr>
          <w:rStyle w:val="Enfasigrassetto"/>
          <w:rFonts w:ascii="Verdana" w:hAnsi="Verdana"/>
          <w:sz w:val="15"/>
          <w:szCs w:val="15"/>
        </w:rPr>
        <w:t>7.3 Disciplina incarichi ed attività non consentite ai pubblici dipendenti</w:t>
      </w:r>
    </w:p>
    <w:p w14:paraId="3C40A746" w14:textId="77777777" w:rsidR="00FD2DBC" w:rsidRDefault="00FD2DBC" w:rsidP="00FD2DBC">
      <w:pPr>
        <w:pStyle w:val="NormaleWeb"/>
        <w:spacing w:before="60" w:beforeAutospacing="0" w:after="60"/>
        <w:jc w:val="both"/>
        <w:divId w:val="1335377944"/>
      </w:pPr>
      <w:r>
        <w:rPr>
          <w:rFonts w:ascii="Verdana" w:hAnsi="Verdana"/>
          <w:sz w:val="15"/>
          <w:szCs w:val="15"/>
        </w:rPr>
        <w:t>Il D.Lgs. n. 39/2013 recante “Disposizioni in materia di inconferibilità e incompatibilità di incarichi presso le pubbliche amministrazioni e presso gli enti privati in controllo pubblico, a norma dell’articolo 1, commi 49 e 50, della legge 6 novembre 2012, n. 190” ha disciplinato:</w:t>
      </w:r>
    </w:p>
    <w:p w14:paraId="175DED71" w14:textId="77777777" w:rsidR="00FD2DBC" w:rsidRDefault="00FD2DBC" w:rsidP="00FD2DBC">
      <w:pPr>
        <w:pStyle w:val="NormaleWeb"/>
        <w:spacing w:before="60" w:beforeAutospacing="0" w:after="60"/>
        <w:jc w:val="both"/>
        <w:divId w:val="1335377944"/>
      </w:pPr>
      <w:r>
        <w:rPr>
          <w:rFonts w:ascii="Verdana" w:hAnsi="Verdana"/>
          <w:sz w:val="15"/>
          <w:szCs w:val="15"/>
        </w:rPr>
        <w:t>a) particolari ipotesi di inconferibilità di incarichi dirigenziali/funzionari responsabili di  posizione organizzativa in relazione all’attività svolta dall’interessato in precedenza; </w:t>
      </w:r>
    </w:p>
    <w:p w14:paraId="096AC6B2" w14:textId="77777777" w:rsidR="00FD2DBC" w:rsidRDefault="00FD2DBC" w:rsidP="00FD2DBC">
      <w:pPr>
        <w:pStyle w:val="NormaleWeb"/>
        <w:spacing w:before="60" w:beforeAutospacing="0" w:after="60"/>
        <w:jc w:val="both"/>
        <w:divId w:val="1335377944"/>
      </w:pPr>
      <w:r>
        <w:rPr>
          <w:rFonts w:ascii="Verdana" w:hAnsi="Verdana"/>
          <w:sz w:val="15"/>
          <w:szCs w:val="15"/>
        </w:rPr>
        <w:t>b) situazioni di incompatibilità specifiche per i titolari di incarichi dirigenziali/funzionari responsabili di posizione organizzativa; </w:t>
      </w:r>
    </w:p>
    <w:p w14:paraId="60554872" w14:textId="77777777" w:rsidR="00FD2DBC" w:rsidRDefault="00FD2DBC" w:rsidP="00FD2DBC">
      <w:pPr>
        <w:pStyle w:val="NormaleWeb"/>
        <w:spacing w:before="60" w:beforeAutospacing="0" w:after="60"/>
        <w:jc w:val="both"/>
        <w:divId w:val="1335377944"/>
      </w:pPr>
      <w:r>
        <w:rPr>
          <w:rFonts w:ascii="Verdana" w:hAnsi="Verdana"/>
          <w:sz w:val="15"/>
          <w:szCs w:val="15"/>
        </w:rPr>
        <w:t>c) ipotesi di inconferibilità di incarichi dirigenziali/funzionari responsabili di posizione organizzativa per i soggetti che siano stati destinatari di sentenze di condanna per delitti contro la pubblica amministrazione.</w:t>
      </w:r>
    </w:p>
    <w:p w14:paraId="42C91694" w14:textId="77777777" w:rsidR="00FD2DBC" w:rsidRDefault="00FD2DBC" w:rsidP="00FD2DBC">
      <w:pPr>
        <w:pStyle w:val="NormaleWeb"/>
        <w:spacing w:before="60" w:beforeAutospacing="0" w:after="60"/>
        <w:jc w:val="both"/>
        <w:divId w:val="1335377944"/>
      </w:pPr>
      <w:r>
        <w:rPr>
          <w:rFonts w:ascii="Verdana" w:hAnsi="Verdana"/>
          <w:sz w:val="15"/>
          <w:szCs w:val="15"/>
        </w:rPr>
        <w:t> In particolare, i Capi III e IV del D.Lgs. n. 39/2013 regolano le ipotesi di inconferibilità degli incarichi ivi contemplati in riferimento a due diverse situazioni:</w:t>
      </w:r>
    </w:p>
    <w:p w14:paraId="37740B73" w14:textId="77777777" w:rsidR="00FD2DBC" w:rsidRDefault="00FD2DBC" w:rsidP="00FD2DBC">
      <w:pPr>
        <w:pStyle w:val="NormaleWeb"/>
        <w:spacing w:before="60" w:beforeAutospacing="0" w:after="60"/>
        <w:jc w:val="both"/>
        <w:divId w:val="1335377944"/>
      </w:pPr>
      <w:r>
        <w:rPr>
          <w:rFonts w:ascii="Verdana" w:hAnsi="Verdana"/>
          <w:sz w:val="15"/>
          <w:szCs w:val="15"/>
        </w:rPr>
        <w:t>- incarichi a soggetti provenienti da enti di diritto privato regolati o finanziati dalle pubbliche amministrazioni; </w:t>
      </w:r>
    </w:p>
    <w:p w14:paraId="79E812E4" w14:textId="77777777" w:rsidR="00FD2DBC" w:rsidRDefault="00FD2DBC" w:rsidP="00FD2DBC">
      <w:pPr>
        <w:pStyle w:val="NormaleWeb"/>
        <w:spacing w:before="60" w:beforeAutospacing="0" w:after="60"/>
        <w:jc w:val="both"/>
        <w:divId w:val="1335377944"/>
      </w:pPr>
      <w:r>
        <w:rPr>
          <w:rFonts w:ascii="Verdana" w:hAnsi="Verdana"/>
          <w:sz w:val="15"/>
          <w:szCs w:val="15"/>
        </w:rPr>
        <w:t>- incarichi a soggetti che sono stati componenti di organi di indirizzo politico. </w:t>
      </w:r>
    </w:p>
    <w:p w14:paraId="5729A60B" w14:textId="77777777" w:rsidR="00FD2DBC" w:rsidRDefault="00FD2DBC" w:rsidP="00FD2DBC">
      <w:pPr>
        <w:pStyle w:val="NormaleWeb"/>
        <w:spacing w:before="60" w:beforeAutospacing="0" w:after="60"/>
        <w:jc w:val="both"/>
        <w:divId w:val="1335377944"/>
      </w:pPr>
      <w:r>
        <w:rPr>
          <w:rFonts w:ascii="Verdana" w:hAnsi="Verdana"/>
          <w:sz w:val="15"/>
          <w:szCs w:val="15"/>
        </w:rPr>
        <w:t>L’ente è tenuto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14:paraId="73D3DF84" w14:textId="77777777" w:rsidR="00FD2DBC" w:rsidRDefault="00FD2DBC" w:rsidP="00FD2DBC">
      <w:pPr>
        <w:pStyle w:val="NormaleWeb"/>
        <w:spacing w:before="60" w:beforeAutospacing="0" w:after="60"/>
        <w:jc w:val="both"/>
        <w:divId w:val="1335377944"/>
      </w:pPr>
      <w:r>
        <w:rPr>
          <w:rFonts w:ascii="Verdana" w:hAnsi="Verdana"/>
          <w:sz w:val="15"/>
          <w:szCs w:val="15"/>
        </w:rPr>
        <w:t>L’accertamento avviene mediante dichiarazione sostitutiva di certificazione resa dall’interessato nei termini e alle condizioni dell’art. 46 del d.P.R. n. 445 del 2000 pubblicata sul sito dell’amministrazione o dell’ente pubblico o privato conferente (art. 20 d.lgs. n. 39 del 2013).</w:t>
      </w:r>
    </w:p>
    <w:p w14:paraId="2232BDE5" w14:textId="77777777" w:rsidR="00FD2DBC" w:rsidRDefault="00FD2DBC" w:rsidP="00FD2DBC">
      <w:pPr>
        <w:pStyle w:val="NormaleWeb"/>
        <w:spacing w:before="60" w:beforeAutospacing="0" w:after="60"/>
        <w:jc w:val="both"/>
        <w:divId w:val="1335377944"/>
      </w:pPr>
      <w:r>
        <w:rPr>
          <w:rFonts w:ascii="Verdana" w:hAnsi="Verdana"/>
          <w:sz w:val="15"/>
          <w:szCs w:val="15"/>
        </w:rPr>
        <w:t>La dichiarazione è condizione per l’acquisizione di efficacia dell’incarico.</w:t>
      </w:r>
    </w:p>
    <w:p w14:paraId="0FABC63F" w14:textId="77777777" w:rsidR="00FD2DBC" w:rsidRDefault="00FD2DBC" w:rsidP="00FD2DBC">
      <w:pPr>
        <w:pStyle w:val="NormaleWeb"/>
        <w:spacing w:before="60" w:beforeAutospacing="0" w:after="60"/>
        <w:jc w:val="both"/>
        <w:divId w:val="1335377944"/>
      </w:pPr>
      <w:r>
        <w:rPr>
          <w:rFonts w:ascii="Verdana" w:hAnsi="Verdana"/>
          <w:sz w:val="15"/>
          <w:szCs w:val="15"/>
        </w:rPr>
        <w:t>Se all’esito della verifica risulta la sussistenza di una o più condizioni ostative, l’amministrazione si astiene dal conferire l’incarico e provvedono a conferire l’incarico nei confronti di altro soggetto.</w:t>
      </w:r>
    </w:p>
    <w:p w14:paraId="4BE12060" w14:textId="77777777" w:rsidR="00FD2DBC" w:rsidRDefault="00FD2DBC" w:rsidP="00FD2DBC">
      <w:pPr>
        <w:pStyle w:val="NormaleWeb"/>
        <w:spacing w:before="60" w:beforeAutospacing="0" w:after="60"/>
        <w:jc w:val="both"/>
        <w:divId w:val="1335377944"/>
      </w:pPr>
      <w:r>
        <w:rPr>
          <w:rFonts w:ascii="Verdana" w:hAnsi="Verdana"/>
          <w:sz w:val="15"/>
          <w:szCs w:val="15"/>
        </w:rPr>
        <w:t>Gli atti ed i contratti posti in essere in violazione delle limitazioni sono nulli ai sensi dell’art. 17 del già citato D.Lgs. n. 39/2013. Mentre ai sensi del successivo art. 18, a carico di coloro che hanno  conferito i suddetti incarichi dichiarati nulli sono applicate le previste sanzioni. </w:t>
      </w:r>
    </w:p>
    <w:p w14:paraId="16A3D347" w14:textId="77777777" w:rsidR="00FD2DBC" w:rsidRDefault="00FD2DBC" w:rsidP="00FD2DBC">
      <w:pPr>
        <w:pStyle w:val="NormaleWeb"/>
        <w:spacing w:before="60" w:beforeAutospacing="0" w:after="60"/>
        <w:jc w:val="both"/>
        <w:divId w:val="1335377944"/>
      </w:pPr>
      <w:r>
        <w:rPr>
          <w:rFonts w:ascii="Verdana" w:hAnsi="Verdana"/>
          <w:sz w:val="15"/>
          <w:szCs w:val="15"/>
        </w:rPr>
        <w:t>I Capi V e VI sempre del D.Lgs. n. 39/2013, disciplinano le ipotesi di incompatibilità specifiche.</w:t>
      </w:r>
    </w:p>
    <w:p w14:paraId="25ECFA73" w14:textId="77777777" w:rsidR="00FD2DBC" w:rsidRDefault="00FD2DBC" w:rsidP="00FD2DBC">
      <w:pPr>
        <w:pStyle w:val="NormaleWeb"/>
        <w:spacing w:before="60" w:beforeAutospacing="0" w:after="60"/>
        <w:jc w:val="both"/>
        <w:divId w:val="1335377944"/>
      </w:pPr>
      <w:r>
        <w:rPr>
          <w:rFonts w:ascii="Verdana" w:hAnsi="Verdana"/>
          <w:sz w:val="15"/>
          <w:szCs w:val="15"/>
        </w:rPr>
        <w:t>A differenza che nel caso di inconferibilità, la causa di incompatibilità può essere rimossa  mediante rinuncia dell’interessato ad uno degli incarichi che la legge ha considerato incompatibili tra di loro. </w:t>
      </w:r>
    </w:p>
    <w:p w14:paraId="0F50D556" w14:textId="77777777" w:rsidR="00FD2DBC" w:rsidRDefault="00FD2DBC" w:rsidP="00FD2DBC">
      <w:pPr>
        <w:pStyle w:val="NormaleWeb"/>
        <w:spacing w:before="60" w:beforeAutospacing="0" w:after="60"/>
        <w:jc w:val="both"/>
        <w:divId w:val="1335377944"/>
      </w:pPr>
      <w:r>
        <w:rPr>
          <w:rFonts w:ascii="Verdana" w:hAnsi="Verdana"/>
          <w:sz w:val="15"/>
          <w:szCs w:val="15"/>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 </w:t>
      </w:r>
    </w:p>
    <w:p w14:paraId="2B1509A1" w14:textId="77777777" w:rsidR="00FD2DBC" w:rsidRDefault="00FD2DBC" w:rsidP="00FD2DBC">
      <w:pPr>
        <w:pStyle w:val="NormaleWeb"/>
        <w:spacing w:before="60" w:beforeAutospacing="0" w:after="60"/>
        <w:jc w:val="both"/>
        <w:divId w:val="1335377944"/>
      </w:pPr>
      <w:r>
        <w:rPr>
          <w:rFonts w:ascii="Verdana" w:hAnsi="Verdana"/>
          <w:sz w:val="15"/>
          <w:szCs w:val="15"/>
        </w:rPr>
        <w:t>Se la situazione di incompatibilità emerge al momento del conferimento dell’incarico, la stessa deve essere rimossa prima del conferimento.</w:t>
      </w:r>
    </w:p>
    <w:p w14:paraId="611F209B" w14:textId="77777777" w:rsidR="00FD2DBC" w:rsidRDefault="00FD2DBC" w:rsidP="00FD2DBC">
      <w:pPr>
        <w:pStyle w:val="NormaleWeb"/>
        <w:spacing w:before="60" w:beforeAutospacing="0" w:after="60"/>
        <w:jc w:val="both"/>
        <w:divId w:val="1335377944"/>
      </w:pPr>
      <w:r>
        <w:rPr>
          <w:rFonts w:ascii="Verdana" w:hAnsi="Verdana"/>
          <w:sz w:val="15"/>
          <w:szCs w:val="15"/>
        </w:rPr>
        <w:t>Anche per l’incompatibilità, l’accertamento avviene mediante dichiarazione sostitutiva di certificazione resa dall’interessato nei termini e alle condizioni dell’art. 46 del d.P.R. n. 445 del 2000 pubblicata sul sito dell’amministrazione.</w:t>
      </w:r>
    </w:p>
    <w:p w14:paraId="0232C037" w14:textId="77777777" w:rsidR="00FD2DBC" w:rsidRDefault="00FD2DBC" w:rsidP="00FD2DBC">
      <w:pPr>
        <w:pStyle w:val="NormaleWeb"/>
        <w:spacing w:before="60" w:beforeAutospacing="0" w:after="60"/>
        <w:jc w:val="both"/>
        <w:divId w:val="1335377944"/>
      </w:pPr>
      <w:r>
        <w:rPr>
          <w:rFonts w:ascii="Verdana" w:hAnsi="Verdana"/>
          <w:sz w:val="15"/>
          <w:szCs w:val="15"/>
        </w:rPr>
        <w:t>Nel corso dell’incarico l’interessato presenta annualmente una dichiarazione sull’insussistenza di una delle cause di incompatibilità.</w:t>
      </w:r>
    </w:p>
    <w:p w14:paraId="7004B2A7" w14:textId="77777777" w:rsidR="00FD2DBC" w:rsidRDefault="00FD2DBC" w:rsidP="00FD2DBC">
      <w:pPr>
        <w:pStyle w:val="NormaleWeb"/>
        <w:spacing w:before="60" w:beforeAutospacing="0" w:after="60"/>
        <w:jc w:val="both"/>
      </w:pPr>
      <w:r>
        <w:rPr>
          <w:rFonts w:ascii="Verdana" w:hAnsi="Verdana"/>
          <w:sz w:val="15"/>
          <w:szCs w:val="15"/>
        </w:rPr>
        <w:t> </w:t>
      </w:r>
    </w:p>
    <w:p w14:paraId="7F46A51B" w14:textId="77777777" w:rsidR="00FD2DBC" w:rsidRDefault="00FD2DBC" w:rsidP="00FD2DBC">
      <w:pPr>
        <w:pStyle w:val="NormaleWeb"/>
        <w:spacing w:before="60" w:beforeAutospacing="0" w:after="60"/>
        <w:jc w:val="both"/>
      </w:pPr>
      <w:r>
        <w:rPr>
          <w:rStyle w:val="Enfasigrassetto"/>
          <w:rFonts w:ascii="Verdana" w:hAnsi="Verdana"/>
          <w:sz w:val="15"/>
          <w:szCs w:val="15"/>
        </w:rPr>
        <w:t>7.4 Elaborazione di direttive per l’attribuzione degli incarichi dirigenziali con la definizione delle cause ostative al conferimento e verifica dell’insussistenza di cause di incompatibilità</w:t>
      </w:r>
    </w:p>
    <w:p w14:paraId="5438F811" w14:textId="77777777" w:rsidR="00FD2DBC" w:rsidRDefault="00FD2DBC" w:rsidP="00FD2DBC">
      <w:pPr>
        <w:pStyle w:val="NormaleWeb"/>
        <w:spacing w:before="60" w:beforeAutospacing="0" w:after="60"/>
        <w:jc w:val="both"/>
      </w:pPr>
      <w:r>
        <w:rPr>
          <w:rFonts w:ascii="Verdana" w:hAnsi="Verdana"/>
          <w:sz w:val="15"/>
          <w:szCs w:val="15"/>
        </w:rPr>
        <w:lastRenderedPageBreak/>
        <w:t>Il D.Lgs. n. 39/2013 recante “Disposizioni in materia di inconferibilità e incompatibilità di incarichi presso le pubbliche amministrazioni e presso gli enti privati in controllo pubblico, a norma dell’articolo 1, commi 49 e 50, della legge 6 novembre 2012, n. 190” ha disciplinato: </w:t>
      </w:r>
    </w:p>
    <w:p w14:paraId="28917660" w14:textId="77777777" w:rsidR="00FD2DBC" w:rsidRDefault="00FD2DBC" w:rsidP="00FD2DBC">
      <w:pPr>
        <w:pStyle w:val="NormaleWeb"/>
        <w:spacing w:before="60" w:beforeAutospacing="0" w:after="60"/>
        <w:jc w:val="both"/>
      </w:pPr>
      <w:r>
        <w:rPr>
          <w:rFonts w:ascii="Verdana" w:hAnsi="Verdana"/>
          <w:sz w:val="15"/>
          <w:szCs w:val="15"/>
        </w:rPr>
        <w:t>a) particolari ipotesi di inconferibilità di incarichi dirigenziali/funzionari responsabili di  posizione organizzativa in relazione all’attività svolta dall’interessato in precedenza; </w:t>
      </w:r>
    </w:p>
    <w:p w14:paraId="6F76FE50" w14:textId="77777777" w:rsidR="00FD2DBC" w:rsidRDefault="00FD2DBC" w:rsidP="00FD2DBC">
      <w:pPr>
        <w:pStyle w:val="NormaleWeb"/>
        <w:spacing w:before="60" w:beforeAutospacing="0" w:after="60"/>
        <w:jc w:val="both"/>
      </w:pPr>
      <w:r>
        <w:rPr>
          <w:rFonts w:ascii="Verdana" w:hAnsi="Verdana"/>
          <w:sz w:val="15"/>
          <w:szCs w:val="15"/>
        </w:rPr>
        <w:t>b) situazioni di incompatibilità specifiche per i titolari di incarichi dirigenziali/funzionari responsabili di posizione organizzativa; </w:t>
      </w:r>
    </w:p>
    <w:p w14:paraId="4307412B" w14:textId="77777777" w:rsidR="00FD2DBC" w:rsidRDefault="00FD2DBC" w:rsidP="00FD2DBC">
      <w:pPr>
        <w:pStyle w:val="NormaleWeb"/>
        <w:spacing w:before="60" w:beforeAutospacing="0" w:after="60"/>
        <w:jc w:val="both"/>
      </w:pPr>
      <w:r>
        <w:rPr>
          <w:rFonts w:ascii="Verdana" w:hAnsi="Verdana"/>
          <w:sz w:val="15"/>
          <w:szCs w:val="15"/>
        </w:rPr>
        <w:t>c) ipotesi di inconferibilità di incarichi dirigenziali/funzionari responsabili di posizione organizzativa per i soggetti che siano stati destinatari di sentenze di condanna per delitti contro la pubblica amministrazione.</w:t>
      </w:r>
    </w:p>
    <w:p w14:paraId="085BDD13" w14:textId="77777777" w:rsidR="00FD2DBC" w:rsidRDefault="00FD2DBC" w:rsidP="00FD2DBC">
      <w:pPr>
        <w:pStyle w:val="NormaleWeb"/>
        <w:spacing w:before="60" w:beforeAutospacing="0" w:after="60"/>
        <w:jc w:val="both"/>
      </w:pPr>
      <w:r>
        <w:rPr>
          <w:rFonts w:ascii="Verdana" w:hAnsi="Verdana"/>
          <w:sz w:val="15"/>
          <w:szCs w:val="15"/>
        </w:rPr>
        <w:t>In particolare, i Capi III e IV del D.Lgs. n. 39/2013 regolano le ipotesi di inconferibilità degli incarichi ivi contemplati in riferimento a due diverse situazioni:</w:t>
      </w:r>
    </w:p>
    <w:p w14:paraId="473CDC32" w14:textId="77777777" w:rsidR="00FD2DBC" w:rsidRDefault="00FD2DBC" w:rsidP="00FD2DBC">
      <w:pPr>
        <w:pStyle w:val="NormaleWeb"/>
        <w:spacing w:before="60" w:beforeAutospacing="0" w:after="60"/>
        <w:jc w:val="both"/>
      </w:pPr>
      <w:r>
        <w:rPr>
          <w:rFonts w:ascii="Verdana" w:hAnsi="Verdana"/>
          <w:sz w:val="15"/>
          <w:szCs w:val="15"/>
        </w:rPr>
        <w:t>- incarichi a soggetti provenienti da enti di diritto privato regolati o finanziati dalle pubbliche amministrazioni; </w:t>
      </w:r>
    </w:p>
    <w:p w14:paraId="04D85025" w14:textId="77777777" w:rsidR="00FD2DBC" w:rsidRDefault="00FD2DBC" w:rsidP="00FD2DBC">
      <w:pPr>
        <w:pStyle w:val="NormaleWeb"/>
        <w:spacing w:before="60" w:beforeAutospacing="0" w:after="60"/>
        <w:jc w:val="both"/>
      </w:pPr>
      <w:r>
        <w:rPr>
          <w:rFonts w:ascii="Verdana" w:hAnsi="Verdana"/>
          <w:sz w:val="15"/>
          <w:szCs w:val="15"/>
        </w:rPr>
        <w:t>- incarichi a soggetti che sono stati componenti di organi di indirizzo politico. </w:t>
      </w:r>
    </w:p>
    <w:p w14:paraId="79875715" w14:textId="77777777" w:rsidR="00FD2DBC" w:rsidRDefault="00FD2DBC" w:rsidP="00FD2DBC">
      <w:pPr>
        <w:pStyle w:val="NormaleWeb"/>
        <w:spacing w:before="60" w:beforeAutospacing="0" w:after="60"/>
        <w:jc w:val="both"/>
      </w:pPr>
      <w:r>
        <w:rPr>
          <w:rFonts w:ascii="Verdana" w:hAnsi="Verdana"/>
          <w:sz w:val="15"/>
          <w:szCs w:val="15"/>
        </w:rPr>
        <w:t>L’ente è tenuto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14:paraId="5824B0F2" w14:textId="77777777" w:rsidR="00FD2DBC" w:rsidRDefault="00FD2DBC" w:rsidP="00FD2DBC">
      <w:pPr>
        <w:pStyle w:val="NormaleWeb"/>
        <w:spacing w:before="60" w:beforeAutospacing="0" w:after="60"/>
        <w:jc w:val="both"/>
      </w:pPr>
      <w:r>
        <w:rPr>
          <w:rFonts w:ascii="Verdana" w:hAnsi="Verdana"/>
          <w:sz w:val="15"/>
          <w:szCs w:val="15"/>
        </w:rPr>
        <w:t>L’accertamento avviene mediante dichiarazione sostitutiva di certificazione resa dall’interessato nei termini e alle condizioni dell’art. 46 del d.P.R. n. 445 del 2000 pubblicata sul sito dell’amministrazione o dell’ente pubblico o privato conferente (art. 20 d.lgs. n. 39 del 2013).</w:t>
      </w:r>
    </w:p>
    <w:p w14:paraId="12A5188C" w14:textId="77777777" w:rsidR="00FD2DBC" w:rsidRDefault="00FD2DBC" w:rsidP="00FD2DBC">
      <w:pPr>
        <w:pStyle w:val="NormaleWeb"/>
        <w:spacing w:before="60" w:beforeAutospacing="0" w:after="60"/>
        <w:jc w:val="both"/>
      </w:pPr>
      <w:r>
        <w:rPr>
          <w:rFonts w:ascii="Verdana" w:hAnsi="Verdana"/>
          <w:sz w:val="15"/>
          <w:szCs w:val="15"/>
        </w:rPr>
        <w:t>La dichiarazione è condizione per l’acquisizione di efficacia dell’incarico.</w:t>
      </w:r>
    </w:p>
    <w:p w14:paraId="62AB6429" w14:textId="77777777" w:rsidR="00FD2DBC" w:rsidRDefault="00FD2DBC" w:rsidP="00FD2DBC">
      <w:pPr>
        <w:pStyle w:val="NormaleWeb"/>
        <w:spacing w:before="60" w:beforeAutospacing="0" w:after="60"/>
        <w:jc w:val="both"/>
      </w:pPr>
      <w:r>
        <w:rPr>
          <w:rFonts w:ascii="Verdana" w:hAnsi="Verdana"/>
          <w:sz w:val="15"/>
          <w:szCs w:val="15"/>
        </w:rPr>
        <w:t>Se all’esito della verifica risulta la sussistenza di una o più condizioni ostative, l’amministrazione si astiene dal conferire l’incarico e provvedono a conferire l’incarico nei confronti di altro soggetto.</w:t>
      </w:r>
    </w:p>
    <w:p w14:paraId="642E66AA" w14:textId="77777777" w:rsidR="00FD2DBC" w:rsidRDefault="00FD2DBC" w:rsidP="00FD2DBC">
      <w:pPr>
        <w:pStyle w:val="NormaleWeb"/>
        <w:spacing w:before="60" w:beforeAutospacing="0" w:after="60"/>
        <w:jc w:val="both"/>
      </w:pPr>
      <w:r>
        <w:rPr>
          <w:rFonts w:ascii="Verdana" w:hAnsi="Verdana"/>
          <w:sz w:val="15"/>
          <w:szCs w:val="15"/>
        </w:rPr>
        <w:t>Gli atti ed i contratti posti in essere in violazione delle limitazioni sono nulli ai sensi dell’art. 17 del già citato D.Lgs. n. 39/2013. Mentre ai sensi del successivo art. 18, a carico di coloro che hanno  conferito i suddetti incarichi dichiarati nulli sono applicate le previste sanzioni. </w:t>
      </w:r>
    </w:p>
    <w:p w14:paraId="63256591" w14:textId="77777777" w:rsidR="00FD2DBC" w:rsidRDefault="00FD2DBC" w:rsidP="00FD2DBC">
      <w:pPr>
        <w:pStyle w:val="NormaleWeb"/>
        <w:spacing w:before="60" w:beforeAutospacing="0" w:after="60"/>
        <w:jc w:val="both"/>
      </w:pPr>
      <w:r>
        <w:rPr>
          <w:rFonts w:ascii="Verdana" w:hAnsi="Verdana"/>
          <w:sz w:val="15"/>
          <w:szCs w:val="15"/>
        </w:rPr>
        <w:t>I Capi V e VI sempre del D.Lgs. n. 39/2013, disciplinano le ipotesi di incompatibilità specifiche.</w:t>
      </w:r>
      <w:r>
        <w:rPr>
          <w:rFonts w:ascii="Verdana" w:hAnsi="Verdana"/>
          <w:sz w:val="15"/>
          <w:szCs w:val="15"/>
        </w:rPr>
        <w:br/>
        <w:t>A differenza che nel caso di inconferibilità, la causa di incompatibilità può essere rimossa  mediante rinuncia dell’interessato ad uno degli incarichi che la legge ha considerato incompatibili tra di loro.</w:t>
      </w:r>
    </w:p>
    <w:p w14:paraId="2CB65567" w14:textId="77777777" w:rsidR="00FD2DBC" w:rsidRDefault="00FD2DBC" w:rsidP="00FD2DBC">
      <w:pPr>
        <w:pStyle w:val="NormaleWeb"/>
        <w:spacing w:before="60" w:beforeAutospacing="0" w:after="60"/>
        <w:jc w:val="both"/>
      </w:pPr>
      <w:r>
        <w:rPr>
          <w:rFonts w:ascii="Verdana" w:hAnsi="Verdana"/>
          <w:sz w:val="15"/>
          <w:szCs w:val="15"/>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w:t>
      </w:r>
    </w:p>
    <w:p w14:paraId="69F70F35" w14:textId="77777777" w:rsidR="00FD2DBC" w:rsidRDefault="00FD2DBC" w:rsidP="00FD2DBC">
      <w:pPr>
        <w:pStyle w:val="NormaleWeb"/>
        <w:spacing w:before="60" w:beforeAutospacing="0" w:after="60"/>
        <w:jc w:val="both"/>
      </w:pPr>
      <w:r>
        <w:rPr>
          <w:rFonts w:ascii="Verdana" w:hAnsi="Verdana"/>
          <w:sz w:val="15"/>
          <w:szCs w:val="15"/>
        </w:rPr>
        <w:t>Se la situazione di incompatibilità emerge al momento del conferimento dell’incarico, la stessa deve essere rimossa prima del conferimento.</w:t>
      </w:r>
    </w:p>
    <w:p w14:paraId="460F4656" w14:textId="77777777" w:rsidR="00FD2DBC" w:rsidRDefault="00FD2DBC" w:rsidP="00FD2DBC">
      <w:pPr>
        <w:pStyle w:val="NormaleWeb"/>
        <w:spacing w:before="60" w:beforeAutospacing="0" w:after="60"/>
        <w:jc w:val="both"/>
      </w:pPr>
      <w:r>
        <w:rPr>
          <w:rFonts w:ascii="Verdana" w:hAnsi="Verdana"/>
          <w:sz w:val="15"/>
          <w:szCs w:val="15"/>
        </w:rPr>
        <w:t>Anche per l’incompatibilità, l’accertamento avviene mediante dichiarazione sostitutiva di certificazione resa dall’interessato nei termini e alle condizioni dell’art. 46 del d.P.R. n. 445 del 2000 pubblicata sul sito dell’amministrazione.</w:t>
      </w:r>
    </w:p>
    <w:p w14:paraId="530A222A" w14:textId="77777777" w:rsidR="00FD2DBC" w:rsidRDefault="00FD2DBC" w:rsidP="00FD2DBC">
      <w:pPr>
        <w:pStyle w:val="NormaleWeb"/>
        <w:spacing w:before="60" w:beforeAutospacing="0" w:after="60"/>
        <w:jc w:val="both"/>
      </w:pPr>
      <w:r>
        <w:rPr>
          <w:rFonts w:ascii="Verdana" w:hAnsi="Verdana"/>
          <w:sz w:val="15"/>
          <w:szCs w:val="15"/>
        </w:rPr>
        <w:t>Nel corso dell’incarico l’interessato presenta annualmente una dichiarazione sull’insussistenza di una delle cause di incompatibilità.</w:t>
      </w:r>
    </w:p>
    <w:p w14:paraId="46CD85B1" w14:textId="77777777" w:rsidR="00FD2DBC" w:rsidRDefault="00FD2DBC" w:rsidP="00FD2DBC">
      <w:pPr>
        <w:pStyle w:val="NormaleWeb"/>
        <w:spacing w:before="60" w:beforeAutospacing="0" w:after="60"/>
        <w:jc w:val="both"/>
      </w:pPr>
      <w:r>
        <w:rPr>
          <w:rFonts w:ascii="Verdana" w:hAnsi="Verdana"/>
          <w:sz w:val="15"/>
          <w:szCs w:val="15"/>
        </w:rPr>
        <w:t>L'Amministrazione, per il tramite del Responsabile della Prevenzione della Corruzione e della Trasparenza, verifica che:</w:t>
      </w:r>
    </w:p>
    <w:p w14:paraId="558EA85F" w14:textId="77777777" w:rsidR="00FD2DBC" w:rsidRDefault="00FD2DBC" w:rsidP="00FD2DBC">
      <w:pPr>
        <w:pStyle w:val="NormaleWeb"/>
        <w:spacing w:before="60" w:beforeAutospacing="0" w:after="60"/>
        <w:jc w:val="both"/>
      </w:pPr>
      <w:r>
        <w:rPr>
          <w:rFonts w:ascii="Verdana" w:hAnsi="Verdana"/>
          <w:sz w:val="15"/>
          <w:szCs w:val="15"/>
        </w:rPr>
        <w:t>- negli interpelli per l'attribuzione degli incarichi siano inserite espressamente le condizioni ostative al conferimento;</w:t>
      </w:r>
    </w:p>
    <w:p w14:paraId="5CDE32E1" w14:textId="77777777" w:rsidR="00FD2DBC" w:rsidRDefault="00FD2DBC" w:rsidP="00FD2DBC">
      <w:pPr>
        <w:pStyle w:val="NormaleWeb"/>
        <w:spacing w:before="60" w:beforeAutospacing="0" w:after="60"/>
        <w:jc w:val="both"/>
      </w:pPr>
      <w:r>
        <w:rPr>
          <w:rFonts w:ascii="Verdana" w:hAnsi="Verdana"/>
          <w:sz w:val="15"/>
          <w:szCs w:val="15"/>
        </w:rPr>
        <w:t>- i soggetti interessati rendano la dichiarazione di insussistenza delle cause di inconferibilità all'atto del conferimento dell'incarico.</w:t>
      </w:r>
    </w:p>
    <w:p w14:paraId="5352D0EE" w14:textId="77777777" w:rsidR="00FD2DBC" w:rsidRDefault="00FD2DBC" w:rsidP="00FD2DBC">
      <w:pPr>
        <w:pStyle w:val="NormaleWeb"/>
        <w:spacing w:before="60" w:beforeAutospacing="0" w:after="60"/>
        <w:jc w:val="both"/>
      </w:pPr>
      <w:r>
        <w:rPr>
          <w:rFonts w:ascii="Verdana" w:hAnsi="Verdana"/>
          <w:sz w:val="15"/>
          <w:szCs w:val="15"/>
        </w:rPr>
        <w:t> </w:t>
      </w:r>
    </w:p>
    <w:p w14:paraId="2B262995" w14:textId="77777777" w:rsidR="00FD2DBC" w:rsidRDefault="00FD2DBC" w:rsidP="00FD2DBC">
      <w:pPr>
        <w:pStyle w:val="NormaleWeb"/>
        <w:spacing w:before="60" w:beforeAutospacing="0" w:after="60"/>
        <w:jc w:val="both"/>
      </w:pPr>
      <w:r>
        <w:rPr>
          <w:rStyle w:val="Enfasigrassetto"/>
          <w:rFonts w:ascii="Verdana" w:hAnsi="Verdana"/>
          <w:sz w:val="15"/>
          <w:szCs w:val="15"/>
        </w:rPr>
        <w:t>7.5 Definizione di modalità per verificare il rispetto del divieto di svolgere attività incompatibili a seguito della cessazione del rapporto</w:t>
      </w:r>
    </w:p>
    <w:p w14:paraId="7215FAEA" w14:textId="77777777" w:rsidR="00FD2DBC" w:rsidRDefault="00FD2DBC" w:rsidP="00FD2DBC">
      <w:pPr>
        <w:pStyle w:val="NormaleWeb"/>
        <w:spacing w:before="60" w:beforeAutospacing="0" w:after="60"/>
        <w:jc w:val="both"/>
      </w:pPr>
      <w:r>
        <w:rPr>
          <w:rFonts w:ascii="Verdana" w:hAnsi="Verdana"/>
          <w:sz w:val="15"/>
          <w:szCs w:val="15"/>
        </w:rPr>
        <w:t>Al fine della verifica delle disposizioni di cui all’art. 53, comma 16-ter del D.Lgs. n. 165/2001, così come inserito dalla lettera l) del comma 42 dell’art. 1 della L. 6 novembre 2012, n. 190, si stabilisce: </w:t>
      </w:r>
    </w:p>
    <w:p w14:paraId="5047CF47" w14:textId="77777777" w:rsidR="00FD2DBC" w:rsidRDefault="00FD2DBC" w:rsidP="00FD2DBC">
      <w:pPr>
        <w:pStyle w:val="NormaleWeb"/>
        <w:spacing w:before="60" w:beforeAutospacing="0" w:after="60"/>
        <w:jc w:val="both"/>
      </w:pPr>
      <w:r>
        <w:rPr>
          <w:rFonts w:ascii="Verdana" w:hAnsi="Verdana"/>
          <w:sz w:val="15"/>
          <w:szCs w:val="15"/>
        </w:rPr>
        <w:t>a) nei contratti di assunzione del personale va inserita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 </w:t>
      </w:r>
    </w:p>
    <w:p w14:paraId="6DE7C2C3" w14:textId="77777777" w:rsidR="00FD2DBC" w:rsidRDefault="00FD2DBC" w:rsidP="00FD2DBC">
      <w:pPr>
        <w:pStyle w:val="NormaleWeb"/>
        <w:spacing w:before="60" w:beforeAutospacing="0" w:after="60"/>
        <w:jc w:val="both"/>
      </w:pPr>
      <w:r>
        <w:rPr>
          <w:rFonts w:ascii="Verdana" w:hAnsi="Verdana"/>
          <w:sz w:val="15"/>
          <w:szCs w:val="15"/>
        </w:rPr>
        <w:t>b) nei bandi di gara o negli atti prodromici agli affidamenti, anche mediante procedura negoziata, va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14:paraId="6F27A939" w14:textId="77777777" w:rsidR="00FD2DBC" w:rsidRDefault="00FD2DBC" w:rsidP="00FD2DBC">
      <w:pPr>
        <w:pStyle w:val="NormaleWeb"/>
        <w:spacing w:before="60" w:beforeAutospacing="0" w:after="60"/>
        <w:jc w:val="both"/>
      </w:pPr>
      <w:r>
        <w:rPr>
          <w:rFonts w:ascii="Verdana" w:hAnsi="Verdana"/>
          <w:sz w:val="15"/>
          <w:szCs w:val="15"/>
        </w:rPr>
        <w:t>c) verrà disposta l’esclusione dalle procedure di affidamento nei confronti dei soggetti per i quali sia emersa la situazione di cui al punto precedente; </w:t>
      </w:r>
    </w:p>
    <w:p w14:paraId="5F93EF9C" w14:textId="77777777" w:rsidR="00FD2DBC" w:rsidRDefault="00FD2DBC" w:rsidP="00FD2DBC">
      <w:pPr>
        <w:pStyle w:val="NormaleWeb"/>
        <w:spacing w:before="60" w:beforeAutospacing="0" w:after="60"/>
        <w:jc w:val="both"/>
      </w:pPr>
      <w:r>
        <w:rPr>
          <w:rFonts w:ascii="Verdana" w:hAnsi="Verdana"/>
          <w:sz w:val="15"/>
          <w:szCs w:val="15"/>
        </w:rPr>
        <w:t>d) si agirà in giudizio per ottenere il risarcimento del danno nei confronti degli ex dipendenti per i quali sia emersa la violazione dei divieti contenuti nell’art. 53, comma 16-ter, del D.Lgs. n. 165/2001.</w:t>
      </w:r>
    </w:p>
    <w:p w14:paraId="495C0FE9" w14:textId="77777777" w:rsidR="00FD2DBC" w:rsidRDefault="00FD2DBC" w:rsidP="00FD2DBC">
      <w:pPr>
        <w:pStyle w:val="NormaleWeb"/>
        <w:spacing w:before="60" w:beforeAutospacing="0" w:after="60"/>
        <w:jc w:val="both"/>
      </w:pPr>
      <w:r>
        <w:rPr>
          <w:rFonts w:ascii="Verdana" w:hAnsi="Verdana"/>
          <w:sz w:val="15"/>
          <w:szCs w:val="15"/>
        </w:rPr>
        <w:t> </w:t>
      </w:r>
    </w:p>
    <w:p w14:paraId="6BDB281F" w14:textId="77777777" w:rsidR="00FD2DBC" w:rsidRDefault="00FD2DBC" w:rsidP="00FD2DBC">
      <w:pPr>
        <w:pStyle w:val="NormaleWeb"/>
        <w:spacing w:before="60" w:beforeAutospacing="0" w:after="60"/>
        <w:jc w:val="both"/>
      </w:pPr>
      <w:r>
        <w:rPr>
          <w:rStyle w:val="Enfasigrassetto"/>
          <w:rFonts w:ascii="Verdana" w:hAnsi="Verdana"/>
          <w:sz w:val="15"/>
          <w:szCs w:val="15"/>
        </w:rPr>
        <w:lastRenderedPageBreak/>
        <w:t>7.6 Elaborazione di direttive per effettuare controlli su precedenti penali ai fini dell’attribuzione degli incarichi e dell’assegnazione ad uffici</w:t>
      </w:r>
    </w:p>
    <w:p w14:paraId="519F1C3B" w14:textId="77777777" w:rsidR="00FD2DBC" w:rsidRDefault="00FD2DBC" w:rsidP="00FD2DBC">
      <w:pPr>
        <w:pStyle w:val="NormaleWeb"/>
        <w:spacing w:before="60" w:beforeAutospacing="0" w:after="60"/>
        <w:jc w:val="both"/>
      </w:pPr>
      <w:r>
        <w:rPr>
          <w:rFonts w:ascii="Verdana" w:hAnsi="Verdana"/>
          <w:sz w:val="15"/>
          <w:szCs w:val="15"/>
        </w:rPr>
        <w:t>Ai fini dell’applicazione degli artt. 35-bis del D.Lgs. n. 165/2001, così come inserito dall’art. 1, comma 46, della L. n. 190/2012, e 3 del D.Lgs. n. 39/2013, l'Ente è tenuto a verificare la sussistenza di eventuali precedenti penali a carico dei dipendenti e/o dei soggetti cui si intendono conferire incarichi nelle seguenti circostanze: </w:t>
      </w:r>
    </w:p>
    <w:p w14:paraId="600ADDB8" w14:textId="77777777" w:rsidR="00FD2DBC" w:rsidRDefault="00FD2DBC" w:rsidP="00FD2DBC">
      <w:pPr>
        <w:pStyle w:val="NormaleWeb"/>
        <w:spacing w:before="60" w:beforeAutospacing="0" w:after="60"/>
        <w:jc w:val="both"/>
      </w:pPr>
      <w:r>
        <w:rPr>
          <w:rFonts w:ascii="Verdana" w:hAnsi="Verdana"/>
          <w:sz w:val="15"/>
          <w:szCs w:val="15"/>
        </w:rPr>
        <w:t>a) all’atto della formazione delle commissioni per l’affidamento di commesse o di commissioni di concorso; </w:t>
      </w:r>
    </w:p>
    <w:p w14:paraId="1BE8D754" w14:textId="77777777" w:rsidR="00FD2DBC" w:rsidRDefault="00FD2DBC" w:rsidP="00FD2DBC">
      <w:pPr>
        <w:pStyle w:val="NormaleWeb"/>
        <w:spacing w:before="60" w:beforeAutospacing="0" w:after="60"/>
        <w:jc w:val="both"/>
      </w:pPr>
      <w:r>
        <w:rPr>
          <w:rFonts w:ascii="Verdana" w:hAnsi="Verdana"/>
          <w:sz w:val="15"/>
          <w:szCs w:val="15"/>
        </w:rPr>
        <w:t>b) all’atto del conferimento degli incarichi amministrativi di vertice o dirigenziali/funzionario responsabile di posizione organizzativa o di direttore generale; </w:t>
      </w:r>
    </w:p>
    <w:p w14:paraId="4E99722E" w14:textId="77777777" w:rsidR="00FD2DBC" w:rsidRDefault="00FD2DBC" w:rsidP="00FD2DBC">
      <w:pPr>
        <w:pStyle w:val="NormaleWeb"/>
        <w:spacing w:before="60" w:beforeAutospacing="0" w:after="60"/>
        <w:jc w:val="both"/>
      </w:pPr>
      <w:r>
        <w:rPr>
          <w:rFonts w:ascii="Verdana" w:hAnsi="Verdana"/>
          <w:sz w:val="15"/>
          <w:szCs w:val="15"/>
        </w:rPr>
        <w:t>c) all’atto dell’assegnazione di dipendenti dell’area direttiva agli uffici che presentano le caratteristiche indicate dall’art. 35-bis del D.Lgs. 165/2001; </w:t>
      </w:r>
    </w:p>
    <w:p w14:paraId="6FBE1F2E" w14:textId="77777777" w:rsidR="00FD2DBC" w:rsidRDefault="00FD2DBC" w:rsidP="00FD2DBC">
      <w:pPr>
        <w:pStyle w:val="NormaleWeb"/>
        <w:spacing w:before="60" w:beforeAutospacing="0" w:after="60"/>
        <w:jc w:val="both"/>
      </w:pPr>
      <w:r>
        <w:rPr>
          <w:rFonts w:ascii="Verdana" w:hAnsi="Verdana"/>
          <w:sz w:val="15"/>
          <w:szCs w:val="15"/>
        </w:rPr>
        <w:t>d) immediatamente, con riferimento agli incarichi già conferiti e al personale già assegnato. </w:t>
      </w:r>
    </w:p>
    <w:p w14:paraId="6BBF2B0F" w14:textId="77777777" w:rsidR="00FD2DBC" w:rsidRDefault="00FD2DBC" w:rsidP="00FD2DBC">
      <w:pPr>
        <w:pStyle w:val="NormaleWeb"/>
        <w:spacing w:before="60" w:beforeAutospacing="0" w:after="60"/>
        <w:jc w:val="both"/>
      </w:pPr>
      <w:r>
        <w:rPr>
          <w:rFonts w:ascii="Verdana" w:hAnsi="Verdana"/>
          <w:sz w:val="15"/>
          <w:szCs w:val="15"/>
        </w:rPr>
        <w:t xml:space="preserve">Gli atti ed i contratti posti in essere in violazione delle limitazioni sono nulli ai sensi dell’art. 17 del D. Lgs. n. 39/2013. A carico di coloro che hanno conferito incarichi dichiarati nulli dovranno essere applicate le sanzioni di cui all’art. 18 dello stesso D.Lgs.  </w:t>
      </w:r>
    </w:p>
    <w:p w14:paraId="1FE3C853" w14:textId="77777777" w:rsidR="00FD2DBC" w:rsidRDefault="00FD2DBC" w:rsidP="00FD2DBC">
      <w:pPr>
        <w:pStyle w:val="NormaleWeb"/>
        <w:spacing w:before="60" w:beforeAutospacing="0" w:after="60"/>
        <w:jc w:val="both"/>
      </w:pPr>
      <w:r>
        <w:rPr>
          <w:rFonts w:ascii="Verdana" w:hAnsi="Verdana"/>
          <w:sz w:val="15"/>
          <w:szCs w:val="15"/>
        </w:rPr>
        <w:t>Qualora all’esito della verifica risultano a carico del personale interessato dei precedenti penali per i delitti sopra indicati, l’amministrazione: </w:t>
      </w:r>
    </w:p>
    <w:p w14:paraId="0088E4F5" w14:textId="77777777" w:rsidR="00FD2DBC" w:rsidRDefault="00FD2DBC" w:rsidP="00FD2DBC">
      <w:pPr>
        <w:pStyle w:val="NormaleWeb"/>
        <w:spacing w:before="60" w:beforeAutospacing="0" w:after="60"/>
        <w:jc w:val="both"/>
      </w:pPr>
      <w:r>
        <w:rPr>
          <w:rFonts w:ascii="Verdana" w:hAnsi="Verdana"/>
          <w:sz w:val="15"/>
          <w:szCs w:val="15"/>
        </w:rPr>
        <w:t>- si astiene dal conferire l’incarico o dall’effettuare l’assegnazione; </w:t>
      </w:r>
    </w:p>
    <w:p w14:paraId="1EC44573" w14:textId="77777777" w:rsidR="00FD2DBC" w:rsidRDefault="00FD2DBC" w:rsidP="00FD2DBC">
      <w:pPr>
        <w:pStyle w:val="NormaleWeb"/>
        <w:spacing w:before="60" w:beforeAutospacing="0" w:after="60"/>
        <w:jc w:val="both"/>
      </w:pPr>
      <w:r>
        <w:rPr>
          <w:rFonts w:ascii="Verdana" w:hAnsi="Verdana"/>
          <w:sz w:val="15"/>
          <w:szCs w:val="15"/>
        </w:rPr>
        <w:t>- applica le misure previste dall’art. 3 del D.Lgs.: n. 39/2013; </w:t>
      </w:r>
    </w:p>
    <w:p w14:paraId="6AA91A54" w14:textId="77777777" w:rsidR="00FD2DBC" w:rsidRDefault="00FD2DBC" w:rsidP="00FD2DBC">
      <w:pPr>
        <w:pStyle w:val="NormaleWeb"/>
        <w:spacing w:before="60" w:beforeAutospacing="0" w:after="60"/>
        <w:jc w:val="both"/>
      </w:pPr>
      <w:r>
        <w:rPr>
          <w:rFonts w:ascii="Verdana" w:hAnsi="Verdana"/>
          <w:sz w:val="15"/>
          <w:szCs w:val="15"/>
        </w:rPr>
        <w:t>- provvede a conferire l’incarico o a disporre l’assegnazione nei confronti di altro soggetto.</w:t>
      </w:r>
    </w:p>
    <w:p w14:paraId="7463EDC7" w14:textId="77777777" w:rsidR="00FD2DBC" w:rsidRDefault="00FD2DBC" w:rsidP="00FD2DBC">
      <w:pPr>
        <w:pStyle w:val="NormaleWeb"/>
        <w:spacing w:before="60" w:beforeAutospacing="0" w:after="60"/>
        <w:jc w:val="both"/>
      </w:pPr>
      <w:r>
        <w:rPr>
          <w:rFonts w:ascii="Verdana" w:hAnsi="Verdana"/>
          <w:sz w:val="15"/>
          <w:szCs w:val="15"/>
        </w:rPr>
        <w:t>Qualora la situazione di inconferibilità si appalesa nel corso del rapporto, il responsabile delle prevenzione effettuerà la contestazione nei confronti dell’interessato, il quale dovrà essere rimosso dall’incarico o assegnato ad altro ufficio.</w:t>
      </w:r>
    </w:p>
    <w:p w14:paraId="38A5EAF9" w14:textId="77777777" w:rsidR="00FD2DBC" w:rsidRDefault="00FD2DBC" w:rsidP="00FD2DBC">
      <w:pPr>
        <w:spacing w:before="60" w:after="60" w:line="240" w:lineRule="auto"/>
        <w:rPr>
          <w:rFonts w:eastAsia="Times New Roman"/>
        </w:rPr>
      </w:pPr>
      <w:r>
        <w:rPr>
          <w:rFonts w:ascii="Verdana" w:eastAsia="Times New Roman" w:hAnsi="Verdana"/>
          <w:sz w:val="15"/>
          <w:szCs w:val="15"/>
        </w:rPr>
        <w:t> </w:t>
      </w:r>
      <w:r>
        <w:rPr>
          <w:rFonts w:eastAsia="Times New Roman"/>
        </w:rPr>
        <w:t xml:space="preserve"> </w:t>
      </w:r>
    </w:p>
    <w:p w14:paraId="503419B7" w14:textId="77777777" w:rsidR="00FD2DBC" w:rsidRDefault="00FD2DBC" w:rsidP="00FD2DBC">
      <w:pPr>
        <w:pStyle w:val="NormaleWeb"/>
        <w:spacing w:before="60" w:beforeAutospacing="0" w:after="60"/>
        <w:jc w:val="both"/>
        <w:rPr>
          <w:rFonts w:eastAsiaTheme="minorEastAsia"/>
        </w:rPr>
      </w:pPr>
      <w:r>
        <w:rPr>
          <w:rStyle w:val="Enfasigrassetto"/>
          <w:rFonts w:ascii="Verdana" w:hAnsi="Verdana"/>
          <w:sz w:val="15"/>
          <w:szCs w:val="15"/>
        </w:rPr>
        <w:t>7.7 Adozione di misure per la tutela del whistleblower</w:t>
      </w:r>
    </w:p>
    <w:p w14:paraId="79CB515A" w14:textId="77777777" w:rsidR="00FD2DBC" w:rsidRDefault="00FD2DBC" w:rsidP="00FD2DBC">
      <w:pPr>
        <w:pStyle w:val="NormaleWeb"/>
        <w:spacing w:before="60" w:beforeAutospacing="0" w:after="60"/>
        <w:jc w:val="both"/>
      </w:pPr>
      <w:r>
        <w:rPr>
          <w:rFonts w:ascii="Verdana" w:hAnsi="Verdana"/>
          <w:sz w:val="15"/>
          <w:szCs w:val="15"/>
        </w:rPr>
        <w:t>Il whistleblower (letteralmente: “colui che soffia nel fischietto” o, in via traslata “vedetta civica”) è chi testimonia un illecito o una irregolarità sul luogo di lavoro e decide di segnalarlo ad una persona o ad una autorità che abbia potere di intervento formale, in tal senso tale funzione assume rilievo prioritario nel perseguimento dell’obiettivo di incremento del senso etico e del principio di responsabilità personale nei confronti della “repubblica”.</w:t>
      </w:r>
    </w:p>
    <w:p w14:paraId="07FCDBAA" w14:textId="77777777" w:rsidR="00FD2DBC" w:rsidRDefault="00FD2DBC" w:rsidP="00FD2DBC">
      <w:pPr>
        <w:pStyle w:val="NormaleWeb"/>
        <w:spacing w:before="60" w:beforeAutospacing="0" w:after="60"/>
        <w:jc w:val="both"/>
      </w:pPr>
      <w:r>
        <w:rPr>
          <w:rFonts w:ascii="Verdana" w:hAnsi="Verdana"/>
          <w:sz w:val="15"/>
          <w:szCs w:val="15"/>
        </w:rPr>
        <w:t>Il riconoscimento formale da parte del Legislatore è avvenuto con le previsioni dettate dall’art. 1 c. 51 della L. 190/2012 che ha introdotto l’art. 54 bis nell’ambito del d.lgs. 165/2001 “tutela del dipendente pubblico che segnala illeciti” in cui, in linea con le raccomandazioni degli Organismi europei, viene tutelata la denuncia resa da un pubblico dipendente all’autorità giudiziaria o alla Corte dei Conti, ovvero al superiore gerarchico attraverso la garanzia dell’anonimato, del divieto di discriminazione nei confronti del denunciante, nonché di sottrazione della denuncia in via generale al diritto di accesso.</w:t>
      </w:r>
    </w:p>
    <w:p w14:paraId="0A83C6E1" w14:textId="77777777" w:rsidR="00FD2DBC" w:rsidRDefault="00FD2DBC" w:rsidP="00FD2DBC">
      <w:pPr>
        <w:pStyle w:val="NormaleWeb"/>
        <w:spacing w:before="60" w:beforeAutospacing="0" w:after="60"/>
        <w:jc w:val="both"/>
      </w:pPr>
      <w:r>
        <w:rPr>
          <w:rFonts w:ascii="Verdana" w:hAnsi="Verdana"/>
          <w:sz w:val="15"/>
          <w:szCs w:val="15"/>
        </w:rPr>
        <w:t>Al fine di dare concreta attuazione alle richiamate disposizioni normative, il Piano Nazionale Anticorruzione ha imposto alle Pubbliche Amministrazioni l’adozione di “accorgimenti tecnici” di tutela del dipendente che effettua segnalazioni. </w:t>
      </w:r>
    </w:p>
    <w:p w14:paraId="7C71491A" w14:textId="77777777" w:rsidR="00FD2DBC" w:rsidRDefault="00FD2DBC" w:rsidP="00FD2DBC">
      <w:pPr>
        <w:pStyle w:val="NormaleWeb"/>
        <w:spacing w:before="60" w:beforeAutospacing="0" w:after="60"/>
        <w:jc w:val="both"/>
      </w:pPr>
      <w:r>
        <w:rPr>
          <w:rFonts w:ascii="Verdana" w:hAnsi="Verdana"/>
          <w:sz w:val="15"/>
          <w:szCs w:val="15"/>
        </w:rPr>
        <w:t>Ai fini del rispetto dell’art. 54-bis del D.Lgs. N. 165/2001 come novellato dall’art. 51 della legge n. 190/2012, il dipendente che ritiene opportuno segnalare una condotta illecita, deve informare prontamente dell’accaduto il responsabile della prevenzione della corruzione attraverso il seguente mezzo:</w:t>
      </w:r>
    </w:p>
    <w:p w14:paraId="210E6076" w14:textId="77777777" w:rsidR="00FD2DBC" w:rsidRDefault="00FD2DBC" w:rsidP="00FD2DBC">
      <w:pPr>
        <w:pStyle w:val="NormaleWeb"/>
        <w:spacing w:before="60" w:beforeAutospacing="0" w:after="60"/>
        <w:jc w:val="both"/>
      </w:pPr>
      <w:r>
        <w:t> </w:t>
      </w:r>
    </w:p>
    <w:p w14:paraId="3F9745A4" w14:textId="77777777" w:rsidR="00FD2DBC" w:rsidRDefault="00FD2DBC" w:rsidP="00FD2DBC">
      <w:pPr>
        <w:pStyle w:val="NormaleWeb"/>
        <w:spacing w:before="60" w:beforeAutospacing="0" w:after="60"/>
        <w:jc w:val="both"/>
      </w:pPr>
      <w:r>
        <w:rPr>
          <w:rFonts w:ascii="Verdana" w:hAnsi="Verdana"/>
          <w:sz w:val="15"/>
          <w:szCs w:val="15"/>
        </w:rPr>
        <w:t>- procedura apposita gestita dal software MUA - Motore Unico Amministrativo, conforme ai dettami normativi ed alle linee guida emanate dall'ANAC.</w:t>
      </w:r>
    </w:p>
    <w:p w14:paraId="295775F4" w14:textId="77777777" w:rsidR="00FD2DBC" w:rsidRDefault="00FD2DBC" w:rsidP="00FD2DBC">
      <w:pPr>
        <w:pStyle w:val="NormaleWeb"/>
        <w:spacing w:before="60" w:beforeAutospacing="0" w:after="60"/>
        <w:jc w:val="both"/>
      </w:pPr>
      <w:r>
        <w:rPr>
          <w:rFonts w:ascii="Verdana" w:hAnsi="Verdana"/>
          <w:sz w:val="15"/>
          <w:szCs w:val="15"/>
        </w:rPr>
        <w:t> </w:t>
      </w:r>
    </w:p>
    <w:p w14:paraId="1B54CF29" w14:textId="77777777" w:rsidR="00FD2DBC" w:rsidRDefault="00FD2DBC" w:rsidP="00FD2DBC">
      <w:pPr>
        <w:pStyle w:val="NormaleWeb"/>
        <w:spacing w:before="60" w:beforeAutospacing="0" w:after="60"/>
        <w:jc w:val="both"/>
      </w:pPr>
      <w:r>
        <w:rPr>
          <w:rFonts w:ascii="Verdana" w:hAnsi="Verdana"/>
          <w:sz w:val="15"/>
          <w:szCs w:val="15"/>
        </w:rPr>
        <w:t>Quest’ultimo valuterà se sono presenti gli elementi per effettuare la segnalazione di quanto accaduto:</w:t>
      </w:r>
    </w:p>
    <w:p w14:paraId="1F9C103E" w14:textId="77777777" w:rsidR="00FD2DBC" w:rsidRDefault="00FD2DBC" w:rsidP="00FD2DBC">
      <w:pPr>
        <w:pStyle w:val="NormaleWeb"/>
        <w:spacing w:before="60" w:beforeAutospacing="0" w:after="60"/>
        <w:jc w:val="both"/>
      </w:pPr>
      <w:r>
        <w:rPr>
          <w:rFonts w:ascii="Verdana" w:hAnsi="Verdana"/>
          <w:sz w:val="15"/>
          <w:szCs w:val="15"/>
        </w:rPr>
        <w:t>1) al dirigente/funzionario responsabile di posizione organizzativa sovraordinato al dipendente che ha operato la discriminazione; il dirigente/funzionario responsabile di posizione organizzativa valuta tempestivamente l’opportunità/necessità di adottare atti o provvedimenti per ripristinare la situazione e/o per rimediare agli effetti negativi della discriminazione. </w:t>
      </w:r>
    </w:p>
    <w:p w14:paraId="4127E4C7" w14:textId="77777777" w:rsidR="00FD2DBC" w:rsidRDefault="00FD2DBC" w:rsidP="00FD2DBC">
      <w:pPr>
        <w:pStyle w:val="NormaleWeb"/>
        <w:spacing w:before="60" w:beforeAutospacing="0" w:after="60"/>
        <w:jc w:val="both"/>
      </w:pPr>
      <w:r>
        <w:rPr>
          <w:rFonts w:ascii="Verdana" w:hAnsi="Verdana"/>
          <w:sz w:val="15"/>
          <w:szCs w:val="15"/>
        </w:rPr>
        <w:t>2) all’Ufficio Procedimenti Disciplinari; L’U.P.D. per i procedimenti di propria competenza, valuta la sussistenza degli estremi per avviare il procedimento disciplinare nei confronti del dipendente che ha operato la discriminazione; </w:t>
      </w:r>
    </w:p>
    <w:p w14:paraId="3280805C" w14:textId="77777777" w:rsidR="00FD2DBC" w:rsidRDefault="00FD2DBC" w:rsidP="00FD2DBC">
      <w:pPr>
        <w:pStyle w:val="NormaleWeb"/>
        <w:spacing w:before="60" w:beforeAutospacing="0" w:after="60"/>
        <w:jc w:val="both"/>
      </w:pPr>
      <w:r>
        <w:rPr>
          <w:rFonts w:ascii="Verdana" w:hAnsi="Verdana"/>
          <w:sz w:val="15"/>
          <w:szCs w:val="15"/>
        </w:rPr>
        <w:t>Al dipendente discriminato è riconosciuta altresì la possibilità di agire in giudizio nei confronti del dipendente che ha operato la discriminazione e dell’amministrazione per ottenere: </w:t>
      </w:r>
    </w:p>
    <w:p w14:paraId="06C909A4" w14:textId="77777777" w:rsidR="00FD2DBC" w:rsidRDefault="00FD2DBC" w:rsidP="00FD2DBC">
      <w:pPr>
        <w:pStyle w:val="NormaleWeb"/>
        <w:spacing w:before="60" w:beforeAutospacing="0" w:after="60"/>
        <w:jc w:val="both"/>
      </w:pPr>
      <w:r>
        <w:rPr>
          <w:rFonts w:ascii="Verdana" w:hAnsi="Verdana"/>
          <w:sz w:val="15"/>
          <w:szCs w:val="15"/>
        </w:rPr>
        <w:t>- un provvedimento giudiziale d’urgenza finalizzato alla cessazione della misura discriminatoria e/o il ripristino immediato della situazione precedente; </w:t>
      </w:r>
    </w:p>
    <w:p w14:paraId="69837F3D" w14:textId="77777777" w:rsidR="00FD2DBC" w:rsidRDefault="00FD2DBC" w:rsidP="00FD2DBC">
      <w:pPr>
        <w:pStyle w:val="NormaleWeb"/>
        <w:spacing w:before="60" w:beforeAutospacing="0" w:after="60"/>
        <w:jc w:val="both"/>
      </w:pPr>
      <w:r>
        <w:rPr>
          <w:rFonts w:ascii="Verdana" w:hAnsi="Verdana"/>
          <w:sz w:val="15"/>
          <w:szCs w:val="15"/>
        </w:rPr>
        <w:t>- il risarcimento del danno patrimoniale e non patrimoniale conseguente alla discriminazione. </w:t>
      </w:r>
    </w:p>
    <w:p w14:paraId="74B53CDF" w14:textId="77777777" w:rsidR="00FD2DBC" w:rsidRDefault="00FD2DBC" w:rsidP="00FD2DBC">
      <w:pPr>
        <w:pStyle w:val="NormaleWeb"/>
        <w:spacing w:before="60" w:beforeAutospacing="0" w:after="60"/>
        <w:jc w:val="both"/>
      </w:pPr>
      <w:r>
        <w:rPr>
          <w:rFonts w:ascii="Verdana" w:hAnsi="Verdana"/>
          <w:sz w:val="15"/>
          <w:szCs w:val="15"/>
        </w:rPr>
        <w:t>La gestione della segnalazione è a carico del responsabile della prevenzione della corruzione.</w:t>
      </w:r>
    </w:p>
    <w:p w14:paraId="67ED1E8F" w14:textId="77777777" w:rsidR="00FD2DBC" w:rsidRDefault="00FD2DBC" w:rsidP="00FD2DBC">
      <w:pPr>
        <w:pStyle w:val="NormaleWeb"/>
        <w:spacing w:before="60" w:beforeAutospacing="0" w:after="60"/>
        <w:jc w:val="both"/>
      </w:pPr>
      <w:r>
        <w:rPr>
          <w:rFonts w:ascii="Verdana" w:hAnsi="Verdana"/>
          <w:sz w:val="15"/>
          <w:szCs w:val="15"/>
        </w:rPr>
        <w:t>Tutti coloro che vengono coinvolti nel processo di gestione della segnalazione sono tenuti alla riservatezza. La violazione della riservatezza potrà comportare irrogazioni di sanzioni disciplinari salva l'eventuale responsabilità penale e civile dell'agente.</w:t>
      </w:r>
    </w:p>
    <w:p w14:paraId="0EBA555B" w14:textId="77777777" w:rsidR="00FD2DBC" w:rsidRDefault="00FD2DBC" w:rsidP="00FD2DBC">
      <w:pPr>
        <w:pStyle w:val="NormaleWeb"/>
        <w:spacing w:before="60" w:beforeAutospacing="0" w:after="60"/>
        <w:jc w:val="both"/>
      </w:pPr>
      <w:r>
        <w:rPr>
          <w:rFonts w:ascii="Verdana" w:hAnsi="Verdana"/>
          <w:sz w:val="15"/>
          <w:szCs w:val="15"/>
        </w:rPr>
        <w:t> </w:t>
      </w:r>
    </w:p>
    <w:p w14:paraId="1D692BC6" w14:textId="77777777" w:rsidR="00FD2DBC" w:rsidRDefault="00FD2DBC" w:rsidP="00FD2DBC">
      <w:pPr>
        <w:pStyle w:val="NormaleWeb"/>
        <w:spacing w:before="60" w:beforeAutospacing="0" w:after="60"/>
        <w:jc w:val="both"/>
      </w:pPr>
      <w:r>
        <w:rPr>
          <w:rStyle w:val="Enfasigrassetto"/>
          <w:rFonts w:ascii="Verdana" w:hAnsi="Verdana"/>
          <w:sz w:val="15"/>
          <w:szCs w:val="15"/>
        </w:rPr>
        <w:lastRenderedPageBreak/>
        <w:t>7.8 Predisposizione di protocolli di legalità per gli affidamenti</w:t>
      </w:r>
    </w:p>
    <w:p w14:paraId="66C108BE" w14:textId="77777777" w:rsidR="00FD2DBC" w:rsidRDefault="00FD2DBC" w:rsidP="00FD2DBC">
      <w:pPr>
        <w:pStyle w:val="NormaleWeb"/>
        <w:spacing w:before="60" w:beforeAutospacing="0" w:after="60"/>
        <w:jc w:val="both"/>
      </w:pPr>
      <w:r>
        <w:rPr>
          <w:rFonts w:ascii="Verdana" w:hAnsi="Verdana"/>
          <w:sz w:val="15"/>
          <w:szCs w:val="15"/>
        </w:rPr>
        <w:t>I protocolli di legalità costituiscono utili strumenti pattizi per contrastare il fenomeno delle infiltrazioni mafiose nelle attività economiche, anche nei territori dove il fenomeno non è particolarmente radicato.</w:t>
      </w:r>
    </w:p>
    <w:p w14:paraId="16795B9C" w14:textId="77777777" w:rsidR="00FD2DBC" w:rsidRDefault="00FD2DBC" w:rsidP="00FD2DBC">
      <w:pPr>
        <w:pStyle w:val="NormaleWeb"/>
        <w:spacing w:before="60" w:beforeAutospacing="0" w:after="60"/>
        <w:jc w:val="both"/>
      </w:pPr>
      <w:r>
        <w:rPr>
          <w:rFonts w:ascii="Verdana" w:hAnsi="Verdana"/>
          <w:sz w:val="15"/>
          <w:szCs w:val="15"/>
        </w:rPr>
        <w:t>I protocolli sono disposizioni volontarie tra soggetti coinvolti nella gestione dell'opera pubblica. In tal modo vengono rafforzati vincoli previsti dalle norme della legislazione antimafia, con forme di controllo volontario, anche con riferimento ai subcontratti, non previste dalla predetta normativa.</w:t>
      </w:r>
    </w:p>
    <w:p w14:paraId="48BC2971" w14:textId="77777777" w:rsidR="00FD2DBC" w:rsidRDefault="00FD2DBC" w:rsidP="00FD2DBC">
      <w:pPr>
        <w:pStyle w:val="NormaleWeb"/>
        <w:spacing w:before="60" w:beforeAutospacing="0" w:after="60"/>
        <w:jc w:val="both"/>
      </w:pPr>
      <w:r>
        <w:rPr>
          <w:rFonts w:ascii="Verdana" w:hAnsi="Verdana"/>
          <w:sz w:val="15"/>
          <w:szCs w:val="15"/>
        </w:rPr>
        <w:t>I vantaggi di poter fruire di uno strumento di consenso, fin dal momento iniziale, consente a tutti i soggetti (privati e pubblici) di poter lealmente confrontarsi con eventuali fenomeni di tentativi di infiltrazione criminale organizzata.</w:t>
      </w:r>
    </w:p>
    <w:p w14:paraId="7ACEE98F" w14:textId="77777777" w:rsidR="00D26C2A" w:rsidRDefault="00D26C2A" w:rsidP="00FD2DBC">
      <w:pPr>
        <w:pStyle w:val="NormaleWeb"/>
        <w:spacing w:before="60" w:beforeAutospacing="0" w:after="60"/>
        <w:jc w:val="both"/>
        <w:rPr>
          <w:rFonts w:ascii="Verdana" w:hAnsi="Verdana"/>
          <w:sz w:val="15"/>
          <w:szCs w:val="15"/>
        </w:rPr>
      </w:pPr>
    </w:p>
    <w:p w14:paraId="12ABEC74" w14:textId="041A2A21" w:rsidR="00FD2DBC" w:rsidRDefault="00FD2DBC" w:rsidP="00FD2DBC">
      <w:pPr>
        <w:pStyle w:val="NormaleWeb"/>
        <w:spacing w:before="60" w:beforeAutospacing="0" w:after="60"/>
        <w:jc w:val="both"/>
      </w:pPr>
      <w:r>
        <w:rPr>
          <w:rStyle w:val="Enfasigrassetto"/>
          <w:rFonts w:ascii="Verdana" w:hAnsi="Verdana"/>
          <w:sz w:val="15"/>
          <w:szCs w:val="15"/>
        </w:rPr>
        <w:t>7.9 Realizzazione del sistema di monitoraggio del rispetto dei termini, previsti dalla legge o dal regolamento, per la conclusione dei procedimenti</w:t>
      </w:r>
    </w:p>
    <w:p w14:paraId="689AD5A9" w14:textId="77777777" w:rsidR="00FD2DBC" w:rsidRDefault="00FD2DBC" w:rsidP="00FD2DBC">
      <w:pPr>
        <w:pStyle w:val="NormaleWeb"/>
        <w:spacing w:before="60" w:beforeAutospacing="0" w:after="60"/>
        <w:jc w:val="both"/>
      </w:pPr>
      <w:r>
        <w:rPr>
          <w:rFonts w:ascii="Verdana" w:hAnsi="Verdana"/>
          <w:sz w:val="15"/>
          <w:szCs w:val="15"/>
        </w:rPr>
        <w:t>I dipendenti che svolgono le attività a rischio di corruzione relazionano semestralmente al Responsabile dell'unità organizzativa di appartenenza il rispetto dei tempi procedimentali e di qualsiasi altra anomalia accertata, indicando, per ciascun procedimento nel quale i termini non sono stati rispettati, le motivazioni in fatto e in diritto di cui all’art. 3 della legge 241/1990, che giustificano il ritardo.</w:t>
      </w:r>
    </w:p>
    <w:p w14:paraId="1703A517" w14:textId="77777777" w:rsidR="00FD2DBC" w:rsidRDefault="00FD2DBC" w:rsidP="00FD2DBC">
      <w:pPr>
        <w:pStyle w:val="NormaleWeb"/>
        <w:spacing w:before="60" w:beforeAutospacing="0" w:after="60"/>
        <w:jc w:val="both"/>
      </w:pPr>
      <w:r>
        <w:rPr>
          <w:rFonts w:ascii="Verdana" w:hAnsi="Verdana"/>
          <w:sz w:val="15"/>
          <w:szCs w:val="15"/>
        </w:rPr>
        <w:t>I dipendenti dovranno utilizzare una griglia dove saranno indicate le seguenti voci: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1663"/>
        <w:gridCol w:w="1677"/>
        <w:gridCol w:w="1771"/>
        <w:gridCol w:w="1611"/>
        <w:gridCol w:w="1691"/>
      </w:tblGrid>
      <w:tr w:rsidR="00FD2DBC" w14:paraId="72509032" w14:textId="77777777">
        <w:trPr>
          <w:trHeight w:val="2250"/>
          <w:tblCellSpacing w:w="15" w:type="dxa"/>
        </w:trPr>
        <w:tc>
          <w:tcPr>
            <w:tcW w:w="2250" w:type="dxa"/>
            <w:tcBorders>
              <w:top w:val="single" w:sz="6" w:space="0" w:color="000000"/>
              <w:left w:val="single" w:sz="6" w:space="0" w:color="000000"/>
              <w:bottom w:val="single" w:sz="6" w:space="0" w:color="000000"/>
              <w:right w:val="single" w:sz="6" w:space="0" w:color="000000"/>
            </w:tcBorders>
            <w:vAlign w:val="center"/>
            <w:hideMark/>
          </w:tcPr>
          <w:p w14:paraId="01E11E07" w14:textId="77777777" w:rsidR="00FD2DBC" w:rsidRDefault="00FD2DBC" w:rsidP="00FD2DBC">
            <w:pPr>
              <w:spacing w:before="60" w:after="60" w:line="240" w:lineRule="auto"/>
              <w:jc w:val="center"/>
              <w:rPr>
                <w:rFonts w:eastAsia="Times New Roman"/>
              </w:rPr>
            </w:pPr>
            <w:r>
              <w:rPr>
                <w:rStyle w:val="Enfasigrassetto"/>
                <w:rFonts w:ascii="Verdana" w:eastAsia="Times New Roman" w:hAnsi="Verdana"/>
                <w:sz w:val="15"/>
                <w:szCs w:val="15"/>
              </w:rPr>
              <w:t>Denominazione e oggetto del procedimento</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3449AEA3" w14:textId="77777777" w:rsidR="00FD2DBC" w:rsidRDefault="00FD2DBC" w:rsidP="00FD2DBC">
            <w:pPr>
              <w:spacing w:before="60" w:after="60" w:line="240" w:lineRule="auto"/>
              <w:jc w:val="center"/>
              <w:rPr>
                <w:rFonts w:eastAsia="Times New Roman"/>
              </w:rPr>
            </w:pPr>
            <w:r>
              <w:rPr>
                <w:rStyle w:val="Enfasigrassetto"/>
                <w:rFonts w:ascii="Verdana" w:eastAsia="Times New Roman" w:hAnsi="Verdana"/>
                <w:sz w:val="15"/>
                <w:szCs w:val="15"/>
              </w:rPr>
              <w:t>Struttura organizzativa competente</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9BD709F" w14:textId="77777777" w:rsidR="00FD2DBC" w:rsidRDefault="00FD2DBC" w:rsidP="00FD2DBC">
            <w:pPr>
              <w:spacing w:before="60" w:after="60" w:line="240" w:lineRule="auto"/>
              <w:jc w:val="center"/>
              <w:rPr>
                <w:rFonts w:eastAsia="Times New Roman"/>
              </w:rPr>
            </w:pPr>
            <w:r>
              <w:rPr>
                <w:rStyle w:val="Enfasigrassetto"/>
                <w:rFonts w:ascii="Verdana" w:eastAsia="Times New Roman" w:hAnsi="Verdana"/>
                <w:sz w:val="15"/>
                <w:szCs w:val="15"/>
              </w:rPr>
              <w:t>Responsabile del procedimento</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4396403B" w14:textId="77777777" w:rsidR="00FD2DBC" w:rsidRDefault="00FD2DBC" w:rsidP="00FD2DBC">
            <w:pPr>
              <w:spacing w:before="60" w:after="60" w:line="240" w:lineRule="auto"/>
              <w:jc w:val="center"/>
              <w:rPr>
                <w:rFonts w:eastAsia="Times New Roman"/>
              </w:rPr>
            </w:pPr>
            <w:r>
              <w:rPr>
                <w:rStyle w:val="Enfasigrassetto"/>
                <w:rFonts w:ascii="Verdana" w:eastAsia="Times New Roman" w:hAnsi="Verdana"/>
                <w:sz w:val="15"/>
                <w:szCs w:val="15"/>
              </w:rPr>
              <w:t>Termine (legale o regolamentare) di conclusione del procedimento</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762AE14F" w14:textId="77777777" w:rsidR="00FD2DBC" w:rsidRDefault="00FD2DBC" w:rsidP="00FD2DBC">
            <w:pPr>
              <w:spacing w:before="60" w:after="60" w:line="240" w:lineRule="auto"/>
              <w:jc w:val="center"/>
              <w:rPr>
                <w:rFonts w:eastAsia="Times New Roman"/>
              </w:rPr>
            </w:pPr>
            <w:r>
              <w:rPr>
                <w:rStyle w:val="Enfasigrassetto"/>
                <w:rFonts w:ascii="Verdana" w:eastAsia="Times New Roman" w:hAnsi="Verdana"/>
                <w:sz w:val="15"/>
                <w:szCs w:val="15"/>
              </w:rPr>
              <w:t>Termine di conclusione effettivo</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661297A5" w14:textId="77777777" w:rsidR="00FD2DBC" w:rsidRDefault="00FD2DBC" w:rsidP="00FD2DBC">
            <w:pPr>
              <w:spacing w:before="60" w:after="60" w:line="240" w:lineRule="auto"/>
              <w:jc w:val="center"/>
              <w:rPr>
                <w:rFonts w:eastAsia="Times New Roman"/>
              </w:rPr>
            </w:pPr>
            <w:r>
              <w:rPr>
                <w:rStyle w:val="Enfasigrassetto"/>
                <w:rFonts w:ascii="Verdana" w:eastAsia="Times New Roman" w:hAnsi="Verdana"/>
                <w:sz w:val="15"/>
                <w:szCs w:val="15"/>
              </w:rPr>
              <w:t>Motivazione del ritardo</w:t>
            </w:r>
          </w:p>
        </w:tc>
      </w:tr>
      <w:tr w:rsidR="00FD2DBC" w14:paraId="3E083F97" w14:textId="77777777">
        <w:trPr>
          <w:trHeight w:val="1500"/>
          <w:tblCellSpacing w:w="15" w:type="dxa"/>
        </w:trPr>
        <w:tc>
          <w:tcPr>
            <w:tcW w:w="2250" w:type="dxa"/>
            <w:tcBorders>
              <w:top w:val="single" w:sz="6" w:space="0" w:color="000000"/>
              <w:left w:val="single" w:sz="6" w:space="0" w:color="000000"/>
              <w:bottom w:val="single" w:sz="6" w:space="0" w:color="000000"/>
              <w:right w:val="single" w:sz="6" w:space="0" w:color="000000"/>
            </w:tcBorders>
            <w:vAlign w:val="center"/>
            <w:hideMark/>
          </w:tcPr>
          <w:p w14:paraId="17B8C6A7" w14:textId="77777777" w:rsidR="00FD2DBC" w:rsidRDefault="00FD2DBC" w:rsidP="00FD2DBC">
            <w:pPr>
              <w:spacing w:before="60" w:after="60" w:line="240" w:lineRule="auto"/>
              <w:jc w:val="center"/>
              <w:rPr>
                <w:rFonts w:eastAsia="Times New Roman"/>
              </w:rPr>
            </w:pPr>
            <w:r>
              <w:rPr>
                <w:rFonts w:eastAsia="Times New Roma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26A9AB25" w14:textId="77777777" w:rsidR="00FD2DBC" w:rsidRDefault="00FD2DBC" w:rsidP="00FD2DBC">
            <w:pPr>
              <w:spacing w:before="60" w:after="60" w:line="240" w:lineRule="auto"/>
              <w:jc w:val="center"/>
              <w:rPr>
                <w:rFonts w:eastAsia="Times New Roman"/>
              </w:rPr>
            </w:pPr>
            <w:r>
              <w:rPr>
                <w:rFonts w:eastAsia="Times New Roma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56175FF0" w14:textId="77777777" w:rsidR="00FD2DBC" w:rsidRDefault="00FD2DBC" w:rsidP="00FD2DBC">
            <w:pPr>
              <w:spacing w:before="60" w:after="60" w:line="240" w:lineRule="auto"/>
              <w:jc w:val="center"/>
              <w:rPr>
                <w:rFonts w:eastAsia="Times New Roman"/>
              </w:rPr>
            </w:pPr>
            <w:r>
              <w:rPr>
                <w:rFonts w:eastAsia="Times New Roma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59C86E8D" w14:textId="77777777" w:rsidR="00FD2DBC" w:rsidRDefault="00FD2DBC" w:rsidP="00FD2DBC">
            <w:pPr>
              <w:spacing w:before="60" w:after="60" w:line="240" w:lineRule="auto"/>
              <w:jc w:val="center"/>
              <w:rPr>
                <w:rFonts w:eastAsia="Times New Roman"/>
              </w:rPr>
            </w:pPr>
            <w:r>
              <w:rPr>
                <w:rFonts w:eastAsia="Times New Roma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7945F46E" w14:textId="77777777" w:rsidR="00FD2DBC" w:rsidRDefault="00FD2DBC" w:rsidP="00FD2DBC">
            <w:pPr>
              <w:spacing w:before="60" w:after="60" w:line="240" w:lineRule="auto"/>
              <w:jc w:val="center"/>
              <w:rPr>
                <w:rFonts w:eastAsia="Times New Roman"/>
              </w:rPr>
            </w:pPr>
            <w:r>
              <w:rPr>
                <w:rFonts w:eastAsia="Times New Roma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BBF1EAB" w14:textId="77777777" w:rsidR="00FD2DBC" w:rsidRDefault="00FD2DBC" w:rsidP="00FD2DBC">
            <w:pPr>
              <w:spacing w:before="60" w:after="60" w:line="240" w:lineRule="auto"/>
              <w:jc w:val="center"/>
              <w:rPr>
                <w:rFonts w:eastAsia="Times New Roman"/>
              </w:rPr>
            </w:pPr>
            <w:r>
              <w:rPr>
                <w:rFonts w:eastAsia="Times New Roman"/>
              </w:rPr>
              <w:t> ....................</w:t>
            </w:r>
          </w:p>
        </w:tc>
      </w:tr>
    </w:tbl>
    <w:p w14:paraId="5D7C69E8" w14:textId="77777777" w:rsidR="00FD2DBC" w:rsidRDefault="00FD2DBC" w:rsidP="00FD2DBC">
      <w:pPr>
        <w:spacing w:before="60" w:after="60" w:line="240" w:lineRule="auto"/>
        <w:rPr>
          <w:rFonts w:eastAsia="Times New Roman"/>
        </w:rPr>
      </w:pPr>
    </w:p>
    <w:p w14:paraId="08F7D242" w14:textId="77777777" w:rsidR="00FD2DBC" w:rsidRDefault="00FD2DBC" w:rsidP="00FD2DBC">
      <w:pPr>
        <w:pStyle w:val="NormaleWeb"/>
        <w:spacing w:before="60" w:beforeAutospacing="0" w:after="60"/>
        <w:jc w:val="both"/>
        <w:rPr>
          <w:rFonts w:eastAsiaTheme="minorEastAsia"/>
        </w:rPr>
      </w:pPr>
      <w:r>
        <w:rPr>
          <w:rFonts w:ascii="Verdana" w:hAnsi="Verdana"/>
          <w:sz w:val="15"/>
          <w:szCs w:val="15"/>
        </w:rPr>
        <w:t>I Responsabili delle unità organizzative provvedono, entro i 30 giorni successivi al semestre di riferimento, al monitoraggio del rispetto dei tempi procedimentali prendendo come riferimento anche le eventuali relazioni pervenute dai dipendenti di cui sopra, e provvedono tempestivamente all’eliminazione delle eventuali anomalie riscontrate. </w:t>
      </w:r>
    </w:p>
    <w:p w14:paraId="2649F3D0" w14:textId="77777777" w:rsidR="00FD2DBC" w:rsidRDefault="00FD2DBC" w:rsidP="00FD2DBC">
      <w:pPr>
        <w:pStyle w:val="NormaleWeb"/>
        <w:spacing w:before="60" w:beforeAutospacing="0" w:after="60"/>
        <w:jc w:val="both"/>
      </w:pPr>
      <w:r>
        <w:rPr>
          <w:rFonts w:ascii="Verdana" w:hAnsi="Verdana"/>
          <w:sz w:val="15"/>
          <w:szCs w:val="15"/>
        </w:rPr>
        <w:t xml:space="preserve">I risultati del monitoraggio e delle azioni espletate sono consultabili nel sito web istituzionale dell'Ente; il monitoraggio contiene i seguenti elementi di approfondimento e di verifica degli adempimenti realizzati: </w:t>
      </w:r>
    </w:p>
    <w:p w14:paraId="7E1B3120" w14:textId="77777777" w:rsidR="00FD2DBC" w:rsidRDefault="00FD2DBC" w:rsidP="00FD2DBC">
      <w:pPr>
        <w:pStyle w:val="NormaleWeb"/>
        <w:spacing w:before="60" w:beforeAutospacing="0" w:after="60"/>
      </w:pPr>
      <w:r>
        <w:rPr>
          <w:rFonts w:ascii="Verdana" w:hAnsi="Verdana"/>
          <w:sz w:val="15"/>
          <w:szCs w:val="15"/>
        </w:rPr>
        <w:t>a) verifica degli eventuali illeciti connessi al ritardo;</w:t>
      </w:r>
      <w:r>
        <w:rPr>
          <w:rFonts w:ascii="Verdana" w:hAnsi="Verdana"/>
          <w:sz w:val="15"/>
          <w:szCs w:val="15"/>
        </w:rPr>
        <w:br/>
        <w:t>b) attestazione dei controlli da parte dei Responsabili dell'unità organizzativa, volti a evitare ritardi;</w:t>
      </w:r>
      <w:r>
        <w:rPr>
          <w:rFonts w:ascii="Verdana" w:hAnsi="Verdana"/>
          <w:sz w:val="15"/>
          <w:szCs w:val="15"/>
        </w:rPr>
        <w:br/>
        <w:t>c) attestazione dell’avvenuta applicazione del sistema delle eventuali sanzioni, sempre in relazione al mancato rispetto dei termini.</w:t>
      </w:r>
    </w:p>
    <w:p w14:paraId="74388C29" w14:textId="77777777" w:rsidR="00FD2DBC" w:rsidRDefault="00FD2DBC" w:rsidP="00FD2DBC">
      <w:pPr>
        <w:pStyle w:val="NormaleWeb"/>
        <w:spacing w:before="60" w:beforeAutospacing="0" w:after="60"/>
        <w:jc w:val="both"/>
      </w:pPr>
      <w:r>
        <w:rPr>
          <w:rFonts w:ascii="Verdana" w:hAnsi="Verdana"/>
          <w:sz w:val="15"/>
          <w:szCs w:val="15"/>
        </w:rPr>
        <w:t>In ogni caso, i Responsabili dell'unità organizzativa, con particolare riguardo alle attività a rischio di corruzione, informano tempestivamente il Responsabile della prevenzione della corruzione, in merito al mancato rispetto dei tempi procedimentali, costituente fondamentale elemento sintomatico del corretto funzionamento e rispetto del piano di prevenzione della corruzione, e di qualsiasi altra anomalia accertata costituente la mancata attuazione del presente piano, adottando le azioni necessarie per eliminarle oppure proponendo al Responsabile della prevenzione della corruzione, le azioni sopra citate ove non rientrino nella competenza normativa dirigenziale.</w:t>
      </w:r>
    </w:p>
    <w:p w14:paraId="386604B2" w14:textId="77777777" w:rsidR="00FD2DBC" w:rsidRDefault="00FD2DBC" w:rsidP="00FD2DBC">
      <w:pPr>
        <w:pStyle w:val="NormaleWeb"/>
        <w:spacing w:before="60" w:beforeAutospacing="0" w:after="60"/>
        <w:jc w:val="both"/>
      </w:pPr>
      <w:r>
        <w:rPr>
          <w:rFonts w:ascii="Verdana" w:hAnsi="Verdana"/>
          <w:sz w:val="15"/>
          <w:szCs w:val="15"/>
        </w:rPr>
        <w:t> </w:t>
      </w:r>
    </w:p>
    <w:p w14:paraId="3CCEE79F" w14:textId="77777777" w:rsidR="00FD2DBC" w:rsidRDefault="00FD2DBC" w:rsidP="00FD2DBC">
      <w:pPr>
        <w:pStyle w:val="NormaleWeb"/>
        <w:spacing w:before="60" w:beforeAutospacing="0" w:after="60"/>
        <w:jc w:val="both"/>
      </w:pPr>
      <w:r>
        <w:rPr>
          <w:rStyle w:val="Enfasigrassetto"/>
          <w:rFonts w:ascii="Verdana" w:hAnsi="Verdana"/>
          <w:sz w:val="15"/>
          <w:szCs w:val="15"/>
        </w:rPr>
        <w:t>7.10 Realizzazione di un sistema di monitoraggio dei rapporti tra l’amministrazione e i soggetti che con essa stipulano contratti e indicazione delle ulteriori iniziative nell’ambito dei contratti pubblici</w:t>
      </w:r>
    </w:p>
    <w:p w14:paraId="68989920" w14:textId="77777777" w:rsidR="00FD2DBC" w:rsidRDefault="00FD2DBC" w:rsidP="00FD2DBC">
      <w:pPr>
        <w:pStyle w:val="NormaleWeb"/>
        <w:spacing w:before="60" w:beforeAutospacing="0" w:after="60"/>
        <w:jc w:val="both"/>
      </w:pPr>
      <w:r>
        <w:rPr>
          <w:rFonts w:ascii="Verdana" w:hAnsi="Verdana"/>
          <w:sz w:val="15"/>
          <w:szCs w:val="15"/>
        </w:rPr>
        <w:t>Al fine di creare un efficace sistema di monitoraggio, si stabilisce quanto segue.</w:t>
      </w:r>
      <w:r>
        <w:rPr>
          <w:rFonts w:ascii="Verdana" w:hAnsi="Verdana"/>
          <w:sz w:val="15"/>
          <w:szCs w:val="15"/>
        </w:rPr>
        <w:br/>
        <w:t xml:space="preserve">Con riferimento alle acquisizioni di servizi e forniture, i Responsabili delle unità organizzative procedenti dovranno comunicare al Responsabile della prevenzione della corruzione: </w:t>
      </w:r>
    </w:p>
    <w:p w14:paraId="41373CB6" w14:textId="77777777" w:rsidR="00FD2DBC" w:rsidRDefault="00FD2DBC" w:rsidP="00FD2DBC">
      <w:pPr>
        <w:pStyle w:val="NormaleWeb"/>
        <w:spacing w:before="60" w:beforeAutospacing="0" w:after="60"/>
        <w:jc w:val="both"/>
      </w:pPr>
      <w:r>
        <w:rPr>
          <w:rFonts w:ascii="Verdana" w:hAnsi="Verdana"/>
          <w:sz w:val="15"/>
          <w:szCs w:val="15"/>
        </w:rPr>
        <w:t>a) all’atto della sottoscrizione le determine di aggiudicazione</w:t>
      </w:r>
    </w:p>
    <w:p w14:paraId="7F20F505" w14:textId="77777777" w:rsidR="00FD2DBC" w:rsidRDefault="00FD2DBC" w:rsidP="00FD2DBC">
      <w:pPr>
        <w:pStyle w:val="NormaleWeb"/>
        <w:spacing w:before="60" w:beforeAutospacing="0" w:after="60"/>
        <w:jc w:val="both"/>
      </w:pPr>
      <w:r>
        <w:rPr>
          <w:rFonts w:ascii="Verdana" w:hAnsi="Verdana"/>
          <w:sz w:val="15"/>
          <w:szCs w:val="15"/>
        </w:rPr>
        <w:lastRenderedPageBreak/>
        <w:t>b) con cadenza semestrale (entro il 30 giugno ed entro il 31 dicembre) l’elenco degli affidamenti assegnati nel semestre di riferimento, indicando altresì per ciascun contratto: </w:t>
      </w:r>
    </w:p>
    <w:p w14:paraId="2E64B807" w14:textId="77777777" w:rsidR="00FD2DBC" w:rsidRDefault="00FD2DBC" w:rsidP="00FD2DBC">
      <w:pPr>
        <w:pStyle w:val="NormaleWeb"/>
        <w:spacing w:before="60" w:beforeAutospacing="0" w:after="60"/>
        <w:jc w:val="both"/>
      </w:pPr>
      <w:r>
        <w:rPr>
          <w:rFonts w:ascii="Verdana" w:hAnsi="Verdana"/>
          <w:sz w:val="15"/>
          <w:szCs w:val="15"/>
        </w:rPr>
        <w:t>- l’importo contrattuale </w:t>
      </w:r>
    </w:p>
    <w:p w14:paraId="68F4BE15" w14:textId="77777777" w:rsidR="00FD2DBC" w:rsidRDefault="00FD2DBC" w:rsidP="00FD2DBC">
      <w:pPr>
        <w:pStyle w:val="NormaleWeb"/>
        <w:spacing w:before="60" w:beforeAutospacing="0" w:after="60"/>
        <w:jc w:val="both"/>
      </w:pPr>
      <w:r>
        <w:rPr>
          <w:rFonts w:ascii="Verdana" w:hAnsi="Verdana"/>
          <w:sz w:val="15"/>
          <w:szCs w:val="15"/>
        </w:rPr>
        <w:t>- il nominativo o ragione sociale del soggetto affidatario </w:t>
      </w:r>
    </w:p>
    <w:p w14:paraId="102D07CB" w14:textId="77777777" w:rsidR="00FD2DBC" w:rsidRDefault="00FD2DBC" w:rsidP="00FD2DBC">
      <w:pPr>
        <w:pStyle w:val="NormaleWeb"/>
        <w:spacing w:before="60" w:beforeAutospacing="0" w:after="60"/>
        <w:jc w:val="both"/>
      </w:pPr>
      <w:r>
        <w:rPr>
          <w:rFonts w:ascii="Verdana" w:hAnsi="Verdana"/>
          <w:sz w:val="15"/>
          <w:szCs w:val="15"/>
        </w:rPr>
        <w:t>- la data di sottoscrizione del contratto </w:t>
      </w:r>
    </w:p>
    <w:p w14:paraId="2A90BA42" w14:textId="77777777" w:rsidR="00FD2DBC" w:rsidRDefault="00FD2DBC" w:rsidP="00FD2DBC">
      <w:pPr>
        <w:pStyle w:val="NormaleWeb"/>
        <w:spacing w:before="60" w:beforeAutospacing="0" w:after="60"/>
        <w:jc w:val="both"/>
      </w:pPr>
      <w:r>
        <w:rPr>
          <w:rFonts w:ascii="Verdana" w:hAnsi="Verdana"/>
          <w:sz w:val="15"/>
          <w:szCs w:val="15"/>
        </w:rPr>
        <w:t>  Con riferimento all’affidamento di lavori, il Responsabile dell'unità organizzativa responsabile dovrà comunicare al Responsabile della prevenzione della corruzione:</w:t>
      </w:r>
    </w:p>
    <w:p w14:paraId="0D4642B5" w14:textId="77777777" w:rsidR="00FD2DBC" w:rsidRDefault="00FD2DBC" w:rsidP="00FD2DBC">
      <w:pPr>
        <w:pStyle w:val="NormaleWeb"/>
        <w:spacing w:before="60" w:beforeAutospacing="0" w:after="60"/>
      </w:pPr>
      <w:r>
        <w:rPr>
          <w:rFonts w:ascii="Verdana" w:hAnsi="Verdana"/>
          <w:sz w:val="15"/>
          <w:szCs w:val="15"/>
        </w:rPr>
        <w:t>a) all’atto della sottoscrizione le determinazioni di aggiudicazione</w:t>
      </w:r>
      <w:r>
        <w:rPr>
          <w:rFonts w:ascii="Verdana" w:hAnsi="Verdana"/>
          <w:sz w:val="15"/>
          <w:szCs w:val="15"/>
        </w:rPr>
        <w:br/>
        <w:t>b) con cadenza semestrale (entro il 30 giugno ed entro il 31 dicembre) l’elenco degli affidamenti assegnati nel semestre di riferimento, indicando altresì per ciascun contratto: </w:t>
      </w:r>
      <w:r>
        <w:rPr>
          <w:rFonts w:ascii="Verdana" w:hAnsi="Verdana"/>
          <w:sz w:val="15"/>
          <w:szCs w:val="15"/>
        </w:rPr>
        <w:br/>
        <w:t>- la tipologia di lavori assegnati </w:t>
      </w:r>
      <w:r>
        <w:rPr>
          <w:rFonts w:ascii="Verdana" w:hAnsi="Verdana"/>
          <w:sz w:val="15"/>
          <w:szCs w:val="15"/>
        </w:rPr>
        <w:br/>
        <w:t>- l’importo dei lavori stimato e la percentuale di ribasso applicata </w:t>
      </w:r>
      <w:r>
        <w:rPr>
          <w:rFonts w:ascii="Verdana" w:hAnsi="Verdana"/>
          <w:sz w:val="15"/>
          <w:szCs w:val="15"/>
        </w:rPr>
        <w:br/>
        <w:t>- l’importo contrattuale </w:t>
      </w:r>
      <w:r>
        <w:rPr>
          <w:rFonts w:ascii="Verdana" w:hAnsi="Verdana"/>
          <w:sz w:val="15"/>
          <w:szCs w:val="15"/>
        </w:rPr>
        <w:br/>
        <w:t>- il nominativo o la ragione sociale dell’aggiudicatario </w:t>
      </w:r>
      <w:r>
        <w:rPr>
          <w:rFonts w:ascii="Verdana" w:hAnsi="Verdana"/>
          <w:sz w:val="15"/>
          <w:szCs w:val="15"/>
        </w:rPr>
        <w:br/>
        <w:t>- la data di sottoscrizione del contratto </w:t>
      </w:r>
      <w:r>
        <w:rPr>
          <w:rFonts w:ascii="Verdana" w:hAnsi="Verdana"/>
          <w:sz w:val="15"/>
          <w:szCs w:val="15"/>
        </w:rPr>
        <w:br/>
        <w:t>- l’indicazione se trattasi di lavori di somma urgenza. </w:t>
      </w:r>
      <w:r>
        <w:rPr>
          <w:rFonts w:ascii="Verdana" w:hAnsi="Verdana"/>
          <w:sz w:val="15"/>
          <w:szCs w:val="15"/>
        </w:rPr>
        <w:br/>
        <w:t>c) in caso di approvazione di varianti in corso d’opera, con cadenza annuale (entro il 31 dicembre), le varianti in corso d’opera approvate nel corso dell’anno con l’indicazione di:</w:t>
      </w:r>
      <w:r>
        <w:rPr>
          <w:rFonts w:ascii="Verdana" w:hAnsi="Verdana"/>
          <w:sz w:val="15"/>
          <w:szCs w:val="15"/>
        </w:rPr>
        <w:br/>
        <w:t>- estremi del contratto originario e data di sottoscrizione </w:t>
      </w:r>
      <w:r>
        <w:rPr>
          <w:rFonts w:ascii="Verdana" w:hAnsi="Verdana"/>
          <w:sz w:val="15"/>
          <w:szCs w:val="15"/>
        </w:rPr>
        <w:br/>
        <w:t>- nominativo o ragione sociale dell’aggiudicatario </w:t>
      </w:r>
      <w:r>
        <w:rPr>
          <w:rFonts w:ascii="Verdana" w:hAnsi="Verdana"/>
          <w:sz w:val="15"/>
          <w:szCs w:val="15"/>
        </w:rPr>
        <w:br/>
        <w:t>- tipologia dei lavori </w:t>
      </w:r>
      <w:r>
        <w:rPr>
          <w:rFonts w:ascii="Verdana" w:hAnsi="Verdana"/>
          <w:sz w:val="15"/>
          <w:szCs w:val="15"/>
        </w:rPr>
        <w:br/>
        <w:t>- importo contrattuale originario </w:t>
      </w:r>
      <w:r>
        <w:rPr>
          <w:rFonts w:ascii="Verdana" w:hAnsi="Verdana"/>
          <w:sz w:val="15"/>
          <w:szCs w:val="15"/>
        </w:rPr>
        <w:br/>
        <w:t>- importo dei lavori approvati in variante </w:t>
      </w:r>
      <w:r>
        <w:rPr>
          <w:rFonts w:ascii="Verdana" w:hAnsi="Verdana"/>
          <w:sz w:val="15"/>
          <w:szCs w:val="15"/>
        </w:rPr>
        <w:br/>
        <w:t>- indicazione della fattispecie normativa alla quale è ricondotta la variante </w:t>
      </w:r>
    </w:p>
    <w:p w14:paraId="5B79CD3A" w14:textId="77777777" w:rsidR="00FD2DBC" w:rsidRDefault="00FD2DBC" w:rsidP="00FD2DBC">
      <w:pPr>
        <w:pStyle w:val="NormaleWeb"/>
        <w:spacing w:before="60" w:beforeAutospacing="0" w:after="60"/>
        <w:jc w:val="both"/>
      </w:pPr>
      <w:r>
        <w:rPr>
          <w:rFonts w:ascii="Verdana" w:hAnsi="Verdana"/>
          <w:sz w:val="15"/>
          <w:szCs w:val="15"/>
        </w:rPr>
        <w:t> </w:t>
      </w:r>
    </w:p>
    <w:p w14:paraId="6AC3221A" w14:textId="77777777" w:rsidR="00FD2DBC" w:rsidRDefault="00FD2DBC" w:rsidP="00FD2DBC">
      <w:pPr>
        <w:pStyle w:val="NormaleWeb"/>
        <w:spacing w:before="60" w:beforeAutospacing="0" w:after="60"/>
        <w:jc w:val="both"/>
      </w:pPr>
      <w:r>
        <w:rPr>
          <w:rStyle w:val="Enfasigrassetto"/>
          <w:rFonts w:ascii="Verdana" w:hAnsi="Verdana"/>
          <w:sz w:val="15"/>
          <w:szCs w:val="15"/>
        </w:rPr>
        <w:t>7.11 Indicazione delle iniziative previste nell'ambito dell'erogazione di sovvenzioni, contributi, sussidi, ausili finanziari nonchè attribuzione di vantaggi economici di qualunque genere</w:t>
      </w:r>
    </w:p>
    <w:p w14:paraId="5B003F32" w14:textId="77777777" w:rsidR="00FD2DBC" w:rsidRDefault="00FD2DBC" w:rsidP="00FD2DBC">
      <w:pPr>
        <w:pStyle w:val="NormaleWeb"/>
        <w:spacing w:before="60" w:beforeAutospacing="0" w:after="60"/>
        <w:jc w:val="both"/>
      </w:pPr>
      <w:r>
        <w:rPr>
          <w:rFonts w:ascii="Verdana" w:hAnsi="Verdana"/>
          <w:sz w:val="15"/>
          <w:szCs w:val="15"/>
        </w:rPr>
        <w:t>Le iniziative sono quelle previste nel paragrafo relativo alle "Misure di prevenzione utili a ridurre la probabilità che il rischio si verifichi" del presente piano.</w:t>
      </w:r>
    </w:p>
    <w:p w14:paraId="338555C1" w14:textId="77777777" w:rsidR="00FD2DBC" w:rsidRDefault="00FD2DBC" w:rsidP="00FD2DBC">
      <w:pPr>
        <w:pStyle w:val="NormaleWeb"/>
        <w:spacing w:before="60" w:beforeAutospacing="0" w:after="60"/>
        <w:jc w:val="both"/>
      </w:pPr>
      <w:r>
        <w:rPr>
          <w:rFonts w:ascii="Verdana" w:hAnsi="Verdana"/>
          <w:sz w:val="15"/>
          <w:szCs w:val="15"/>
        </w:rPr>
        <w:t> </w:t>
      </w:r>
    </w:p>
    <w:p w14:paraId="1D3798DE" w14:textId="77777777" w:rsidR="00FD2DBC" w:rsidRDefault="00FD2DBC" w:rsidP="00FD2DBC">
      <w:pPr>
        <w:pStyle w:val="NormaleWeb"/>
        <w:spacing w:before="60" w:beforeAutospacing="0" w:after="60"/>
        <w:jc w:val="both"/>
      </w:pPr>
      <w:r>
        <w:rPr>
          <w:rStyle w:val="Enfasigrassetto"/>
          <w:rFonts w:ascii="Verdana" w:hAnsi="Verdana"/>
          <w:sz w:val="15"/>
          <w:szCs w:val="15"/>
        </w:rPr>
        <w:t>7.12 Indicazione delle iniziative previste nell'ambito di concorsi e selezione del personale</w:t>
      </w:r>
    </w:p>
    <w:p w14:paraId="78F0489F" w14:textId="77777777" w:rsidR="00FD2DBC" w:rsidRDefault="00FD2DBC" w:rsidP="00FD2DBC">
      <w:pPr>
        <w:pStyle w:val="NormaleWeb"/>
        <w:spacing w:before="60" w:beforeAutospacing="0" w:after="60"/>
        <w:jc w:val="both"/>
      </w:pPr>
      <w:r>
        <w:rPr>
          <w:rFonts w:ascii="Verdana" w:hAnsi="Verdana"/>
          <w:sz w:val="15"/>
          <w:szCs w:val="15"/>
        </w:rPr>
        <w:t>Le iniziative sono quelle previste nel paragrafo relativo alle "Misure di prevenzione utili a ridurre la probabilità che il rischio si verifichi" del presente piano.</w:t>
      </w:r>
    </w:p>
    <w:p w14:paraId="351F0302" w14:textId="77777777" w:rsidR="00FD2DBC" w:rsidRDefault="00FD2DBC" w:rsidP="00FD2DBC">
      <w:pPr>
        <w:pStyle w:val="NormaleWeb"/>
        <w:spacing w:before="60" w:beforeAutospacing="0" w:after="60"/>
        <w:jc w:val="both"/>
      </w:pPr>
      <w:r>
        <w:rPr>
          <w:rFonts w:ascii="Verdana" w:hAnsi="Verdana"/>
          <w:sz w:val="15"/>
          <w:szCs w:val="15"/>
        </w:rPr>
        <w:t> </w:t>
      </w:r>
    </w:p>
    <w:p w14:paraId="01C33853" w14:textId="77777777" w:rsidR="00FD2DBC" w:rsidRDefault="00FD2DBC" w:rsidP="00FD2DBC">
      <w:pPr>
        <w:pStyle w:val="NormaleWeb"/>
        <w:spacing w:before="60" w:beforeAutospacing="0" w:after="60"/>
        <w:jc w:val="both"/>
      </w:pPr>
      <w:r>
        <w:rPr>
          <w:rStyle w:val="Enfasigrassetto"/>
          <w:rFonts w:ascii="Verdana" w:hAnsi="Verdana"/>
          <w:sz w:val="15"/>
          <w:szCs w:val="15"/>
        </w:rPr>
        <w:t>7.13 Indicazione delle iniziative previste nell'ambito delle attività ispettive</w:t>
      </w:r>
    </w:p>
    <w:p w14:paraId="39547E67" w14:textId="77777777" w:rsidR="00FD2DBC" w:rsidRDefault="00FD2DBC" w:rsidP="00FD2DBC">
      <w:pPr>
        <w:pStyle w:val="NormaleWeb"/>
        <w:spacing w:before="60" w:beforeAutospacing="0" w:after="60"/>
        <w:jc w:val="both"/>
      </w:pPr>
      <w:r>
        <w:rPr>
          <w:rFonts w:ascii="Verdana" w:hAnsi="Verdana"/>
          <w:sz w:val="15"/>
          <w:szCs w:val="15"/>
        </w:rPr>
        <w:t>Ai sensi dell’articolo 1, comma 14, della legge n. 190 del 2012, il Responsabile della prevenzione della corruzione entro il 15 dicembre di ogni anno redige una relazione sull’attività svolta nell’ambito della prevenzione e contrasto della corruzione e la trasmette all'organo di indirizzo politico. </w:t>
      </w:r>
    </w:p>
    <w:p w14:paraId="7981FC60" w14:textId="77777777" w:rsidR="00FD2DBC" w:rsidRDefault="00FD2DBC" w:rsidP="00FD2DBC">
      <w:pPr>
        <w:pStyle w:val="NormaleWeb"/>
        <w:spacing w:before="60" w:beforeAutospacing="0" w:after="60"/>
        <w:jc w:val="both"/>
      </w:pPr>
      <w:r>
        <w:rPr>
          <w:rFonts w:ascii="Verdana" w:hAnsi="Verdana"/>
          <w:sz w:val="15"/>
          <w:szCs w:val="15"/>
        </w:rPr>
        <w:t>Qualora l’organo di indirizzo politico lo richieda oppure il Responsabile stesso lo ritenga opportuno, quest’ultimo riferisce direttamente sull’attività svolta. </w:t>
      </w:r>
    </w:p>
    <w:p w14:paraId="0ABBE03F" w14:textId="77777777" w:rsidR="00FD2DBC" w:rsidRDefault="00FD2DBC" w:rsidP="00FD2DBC">
      <w:pPr>
        <w:pStyle w:val="NormaleWeb"/>
        <w:spacing w:before="60" w:beforeAutospacing="0" w:after="60"/>
        <w:jc w:val="both"/>
      </w:pPr>
      <w:r>
        <w:rPr>
          <w:rFonts w:ascii="Verdana" w:hAnsi="Verdana"/>
          <w:sz w:val="15"/>
          <w:szCs w:val="15"/>
        </w:rPr>
        <w:t>La relazione viene pubblicata sul sito web istituzionale dell’Ente. </w:t>
      </w:r>
    </w:p>
    <w:p w14:paraId="64967D9E" w14:textId="77777777" w:rsidR="00FD2DBC" w:rsidRDefault="00FD2DBC" w:rsidP="00FD2DBC">
      <w:pPr>
        <w:pStyle w:val="NormaleWeb"/>
        <w:spacing w:before="60" w:beforeAutospacing="0" w:after="60"/>
        <w:jc w:val="both"/>
      </w:pPr>
      <w:r>
        <w:rPr>
          <w:rFonts w:ascii="Verdana" w:hAnsi="Verdana"/>
          <w:sz w:val="15"/>
          <w:szCs w:val="15"/>
        </w:rPr>
        <w:t>Tale documento dovrà contenere la reportistica delle misure anticorruzione come individuate nel Piano Nazionale Anticorruzione nonché le considerazioni sull’efficacia delle previsioni del P.T.P.C.T. e le eventuali proposte di modifica. </w:t>
      </w:r>
    </w:p>
    <w:p w14:paraId="7C5E0118" w14:textId="77777777" w:rsidR="00FD2DBC" w:rsidRDefault="00FD2DBC" w:rsidP="00FD2DBC">
      <w:pPr>
        <w:pStyle w:val="NormaleWeb"/>
        <w:spacing w:before="60" w:beforeAutospacing="0" w:after="60"/>
        <w:jc w:val="both"/>
      </w:pPr>
      <w:r>
        <w:rPr>
          <w:rFonts w:ascii="Verdana" w:hAnsi="Verdana"/>
          <w:sz w:val="15"/>
          <w:szCs w:val="15"/>
        </w:rPr>
        <w:t>A fronte delle prerogative attribuite sono previste corrispondenti responsabilità per il Responsabile della prevenzione della corruzione. </w:t>
      </w:r>
    </w:p>
    <w:p w14:paraId="3D5CE8BC" w14:textId="77777777" w:rsidR="00FD2DBC" w:rsidRDefault="00FD2DBC" w:rsidP="00FD2DBC">
      <w:pPr>
        <w:pStyle w:val="NormaleWeb"/>
        <w:spacing w:before="60" w:beforeAutospacing="0" w:after="60"/>
        <w:jc w:val="both"/>
      </w:pPr>
      <w:r>
        <w:rPr>
          <w:rFonts w:ascii="Verdana" w:hAnsi="Verdana"/>
          <w:sz w:val="15"/>
          <w:szCs w:val="15"/>
        </w:rPr>
        <w:t>In particolare, l’articolo 1 della legge n. 190/2012: </w:t>
      </w:r>
    </w:p>
    <w:p w14:paraId="3059473E" w14:textId="77777777" w:rsidR="00FD2DBC" w:rsidRDefault="00FD2DBC" w:rsidP="00FD2DBC">
      <w:pPr>
        <w:pStyle w:val="NormaleWeb"/>
        <w:spacing w:before="60" w:beforeAutospacing="0" w:after="60"/>
        <w:jc w:val="both"/>
      </w:pPr>
      <w:r>
        <w:rPr>
          <w:rFonts w:ascii="Verdana" w:hAnsi="Verdana"/>
          <w:sz w:val="15"/>
          <w:szCs w:val="15"/>
        </w:rPr>
        <w:t xml:space="preserve">- al comma 8 stabilisce che “la mancata predisposizione del piano e la mancata adozione delle procedure per la selezione e la formazione dei dipendenti costituiscono elementi di valutazione della responsabilità dirigenziale”;  </w:t>
      </w:r>
    </w:p>
    <w:p w14:paraId="6C0EF248" w14:textId="77777777" w:rsidR="00FD2DBC" w:rsidRDefault="00FD2DBC" w:rsidP="00FD2DBC">
      <w:pPr>
        <w:pStyle w:val="NormaleWeb"/>
        <w:spacing w:before="60" w:beforeAutospacing="0" w:after="60"/>
        <w:jc w:val="both"/>
      </w:pPr>
      <w:r>
        <w:rPr>
          <w:rFonts w:ascii="Verdana" w:hAnsi="Verdana"/>
          <w:sz w:val="15"/>
          <w:szCs w:val="15"/>
        </w:rPr>
        <w:t>- al comma 12 prevede che, in caso di commissione all’interno dell’amministrazione di un reato di corruzione accertato con sentenza passata in giudicato, il R.P.C. risponde per responsabilità dirigenziale, sul piano disciplinare, oltre che per il danno erariale e all’immagine della pubblica amministrazione, salvo provi di avere predisposto, prima della commissione del fatto, il piano triennale di prevenzione della corruzione e di aver vigilato sul funzionamento e sull’osservanza dello stesso, nonché di aver osservato le prescrizioni di cui ai commi 9 e 10 del medesimo art. 1; </w:t>
      </w:r>
    </w:p>
    <w:p w14:paraId="1471AF6B" w14:textId="77777777" w:rsidR="00FD2DBC" w:rsidRDefault="00FD2DBC" w:rsidP="00FD2DBC">
      <w:pPr>
        <w:pStyle w:val="NormaleWeb"/>
        <w:spacing w:before="60" w:beforeAutospacing="0" w:after="60"/>
        <w:jc w:val="both"/>
      </w:pPr>
      <w:r>
        <w:rPr>
          <w:rFonts w:ascii="Verdana" w:hAnsi="Verdana"/>
          <w:sz w:val="15"/>
          <w:szCs w:val="15"/>
        </w:rPr>
        <w:t>- al comma 14, individua inoltre un’ulteriore ipotesi di responsabilità dirigenziale nel caso di ripetute violazioni delle misure di prevenzione previste dal piano nonché, in presenza delle medesime circostanze, una fattispecie di illecito disciplinare per omesso controllo. </w:t>
      </w:r>
    </w:p>
    <w:p w14:paraId="686347B4" w14:textId="77777777" w:rsidR="00FD2DBC" w:rsidRDefault="00FD2DBC" w:rsidP="00FD2DBC">
      <w:pPr>
        <w:pStyle w:val="NormaleWeb"/>
        <w:spacing w:before="60" w:beforeAutospacing="0" w:after="60"/>
        <w:jc w:val="both"/>
      </w:pPr>
      <w:r>
        <w:rPr>
          <w:rFonts w:ascii="Verdana" w:hAnsi="Verdana"/>
          <w:sz w:val="15"/>
          <w:szCs w:val="15"/>
        </w:rPr>
        <w:t>Specifiche corrispondenti responsabilità sono previste a carico del Responsabile della trasparenza e dei Dirigenti con riferimento agli obblighi posti dalla normativa in materia di trasparenza. In particolare:</w:t>
      </w:r>
    </w:p>
    <w:p w14:paraId="43C2A832" w14:textId="77777777" w:rsidR="00FD2DBC" w:rsidRDefault="00FD2DBC" w:rsidP="00FD2DBC">
      <w:pPr>
        <w:pStyle w:val="NormaleWeb"/>
        <w:spacing w:before="60" w:beforeAutospacing="0" w:after="60"/>
        <w:jc w:val="both"/>
      </w:pPr>
      <w:r>
        <w:rPr>
          <w:rFonts w:ascii="Verdana" w:hAnsi="Verdana"/>
          <w:sz w:val="15"/>
          <w:szCs w:val="15"/>
        </w:rPr>
        <w:lastRenderedPageBreak/>
        <w:t xml:space="preserve">- l’articolo 1, comma 33, della legge n. 190 del 2012 stabilisce che la mancata o incompleta pubblicazione, da parte delle pubbliche amministrazioni, delle informazioni di cui al comma 31 costituisce violazione degli standard qualitativi ed economici ai sensi dell'articolo 1, comma 1, del d.lgs. n. 198 del 2009 e va valutata come responsabilità dirigenziale ai sensi dell'articolo 21 del d.lgs. n. 165 del 2001. </w:t>
      </w:r>
    </w:p>
    <w:p w14:paraId="1DBB5DE8" w14:textId="77777777" w:rsidR="00FD2DBC" w:rsidRDefault="00FD2DBC" w:rsidP="00FD2DBC">
      <w:pPr>
        <w:pStyle w:val="NormaleWeb"/>
        <w:spacing w:before="60" w:beforeAutospacing="0" w:after="60"/>
        <w:jc w:val="both"/>
      </w:pPr>
      <w:r>
        <w:rPr>
          <w:rFonts w:ascii="Verdana" w:hAnsi="Verdana"/>
          <w:sz w:val="15"/>
          <w:szCs w:val="15"/>
        </w:rPr>
        <w:t>Eventuali ritardi nell'aggiornamento dei contenuti sugli strumenti informatici sono sanzionati a carico dei responsabili del servizio. </w:t>
      </w:r>
    </w:p>
    <w:p w14:paraId="380E5BA8" w14:textId="77777777" w:rsidR="00FD2DBC" w:rsidRDefault="00FD2DBC" w:rsidP="00FD2DBC">
      <w:pPr>
        <w:pStyle w:val="NormaleWeb"/>
        <w:spacing w:before="60" w:beforeAutospacing="0" w:after="60"/>
        <w:jc w:val="both"/>
      </w:pPr>
      <w:r>
        <w:rPr>
          <w:rFonts w:ascii="Verdana" w:hAnsi="Verdana"/>
          <w:sz w:val="15"/>
          <w:szCs w:val="15"/>
        </w:rPr>
        <w:t>- l’articolo 46, comma 1, del decreto legislativo n. 33 del 2013 prevede che “l'inadempimento degli obblighi di pubblicazione previsti dalla normativa vigente o la mancata predisposizione del Programma triennale per la trasparenza e l'integrità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14:paraId="19DF15B9" w14:textId="77777777" w:rsidR="00FD2DBC" w:rsidRDefault="00FD2DBC" w:rsidP="00FD2DBC">
      <w:pPr>
        <w:pStyle w:val="NormaleWeb"/>
        <w:spacing w:before="60" w:beforeAutospacing="0" w:after="60"/>
        <w:jc w:val="both"/>
      </w:pPr>
      <w:r>
        <w:rPr>
          <w:rFonts w:ascii="Verdana" w:hAnsi="Verdana"/>
          <w:sz w:val="15"/>
          <w:szCs w:val="15"/>
        </w:rPr>
        <w:t>La responsabilità dei dipendenti per violazione delle misure di prevenzione.</w:t>
      </w:r>
    </w:p>
    <w:p w14:paraId="1E511DF2" w14:textId="77777777" w:rsidR="00FD2DBC" w:rsidRDefault="00FD2DBC" w:rsidP="00FD2DBC">
      <w:pPr>
        <w:pStyle w:val="NormaleWeb"/>
        <w:spacing w:before="60" w:beforeAutospacing="0" w:after="60"/>
        <w:jc w:val="both"/>
      </w:pPr>
      <w:r>
        <w:rPr>
          <w:rFonts w:ascii="Verdana" w:hAnsi="Verdana"/>
          <w:sz w:val="15"/>
          <w:szCs w:val="15"/>
        </w:rPr>
        <w:t>Le misure di prevenzione e contrasto alla corruzione trasfuse nel presente P.T.P.C.T. devono essere rispettate da tutti i dipendenti.</w:t>
      </w:r>
    </w:p>
    <w:p w14:paraId="28F6882F" w14:textId="77777777" w:rsidR="00FD2DBC" w:rsidRDefault="00FD2DBC" w:rsidP="00FD2DBC">
      <w:pPr>
        <w:pStyle w:val="NormaleWeb"/>
        <w:spacing w:before="60" w:beforeAutospacing="0" w:after="60"/>
        <w:jc w:val="both"/>
      </w:pPr>
      <w:r>
        <w:rPr>
          <w:rFonts w:ascii="Verdana" w:hAnsi="Verdana"/>
          <w:sz w:val="15"/>
          <w:szCs w:val="15"/>
        </w:rPr>
        <w:t>L’articolo 1, comma 14, della legge n. 190 del 2012 dispone infatti che “La violazione, da parte dei dipendenti dell’amministrazione, delle misure di prevenzione previste dal piano costituisce illecito disciplinare”.</w:t>
      </w:r>
    </w:p>
    <w:p w14:paraId="3274B11F" w14:textId="77777777" w:rsidR="001D079E" w:rsidRPr="007D0DBC" w:rsidRDefault="001D079E" w:rsidP="00FD2DBC">
      <w:pPr>
        <w:spacing w:before="60" w:after="60" w:line="240" w:lineRule="auto"/>
        <w:jc w:val="both"/>
        <w:rPr>
          <w:rFonts w:ascii="Verdana" w:hAnsi="Verdana"/>
          <w:sz w:val="18"/>
        </w:rPr>
      </w:pPr>
    </w:p>
    <w:sectPr w:rsidR="001D079E" w:rsidRPr="007D0DBC" w:rsidSect="00C0015D">
      <w:headerReference w:type="default" r:id="rId8"/>
      <w:footerReference w:type="default" r:id="rId9"/>
      <w:pgSz w:w="11906" w:h="16838"/>
      <w:pgMar w:top="3969" w:right="851" w:bottom="851" w:left="851"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3446" w14:textId="77777777" w:rsidR="009D31B5" w:rsidRDefault="009D31B5" w:rsidP="007D0DBC">
      <w:pPr>
        <w:spacing w:after="0" w:line="240" w:lineRule="auto"/>
      </w:pPr>
      <w:r>
        <w:separator/>
      </w:r>
    </w:p>
  </w:endnote>
  <w:endnote w:type="continuationSeparator" w:id="0">
    <w:p w14:paraId="3219C755" w14:textId="77777777" w:rsidR="009D31B5" w:rsidRDefault="009D31B5" w:rsidP="007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C46A" w14:textId="51379B50" w:rsidR="000F1FFE" w:rsidRPr="007D0DBC" w:rsidRDefault="000F1FFE" w:rsidP="007D0DBC">
    <w:pPr>
      <w:pStyle w:val="Pidipagina"/>
      <w:jc w:val="center"/>
      <w:rPr>
        <w:rFonts w:ascii="Verdana" w:hAnsi="Verdana"/>
        <w:sz w:val="18"/>
        <w:szCs w:val="18"/>
      </w:rPr>
    </w:pPr>
    <w:r w:rsidRPr="007D0DBC">
      <w:rPr>
        <w:rFonts w:ascii="Verdana" w:hAnsi="Verdana"/>
        <w:sz w:val="18"/>
        <w:szCs w:val="18"/>
      </w:rPr>
      <w:t xml:space="preserve">Pagina </w:t>
    </w:r>
    <w:r w:rsidRPr="007D0DBC">
      <w:rPr>
        <w:rFonts w:ascii="Verdana" w:hAnsi="Verdana"/>
        <w:sz w:val="18"/>
        <w:szCs w:val="18"/>
      </w:rPr>
      <w:fldChar w:fldCharType="begin"/>
    </w:r>
    <w:r w:rsidRPr="007D0DBC">
      <w:rPr>
        <w:rFonts w:ascii="Verdana" w:hAnsi="Verdana"/>
        <w:sz w:val="18"/>
        <w:szCs w:val="18"/>
      </w:rPr>
      <w:instrText>PAGE  \* Arabic  \* MERGEFORMAT</w:instrText>
    </w:r>
    <w:r w:rsidRPr="007D0DBC">
      <w:rPr>
        <w:rFonts w:ascii="Verdana" w:hAnsi="Verdana"/>
        <w:sz w:val="18"/>
        <w:szCs w:val="18"/>
      </w:rPr>
      <w:fldChar w:fldCharType="separate"/>
    </w:r>
    <w:r w:rsidR="00217B30">
      <w:rPr>
        <w:rFonts w:ascii="Verdana" w:hAnsi="Verdana"/>
        <w:noProof/>
        <w:sz w:val="18"/>
        <w:szCs w:val="18"/>
      </w:rPr>
      <w:t>2</w:t>
    </w:r>
    <w:r w:rsidRPr="007D0DBC">
      <w:rPr>
        <w:rFonts w:ascii="Verdana" w:hAnsi="Verdana"/>
        <w:sz w:val="18"/>
        <w:szCs w:val="18"/>
      </w:rPr>
      <w:fldChar w:fldCharType="end"/>
    </w:r>
    <w:r w:rsidRPr="007D0DBC">
      <w:rPr>
        <w:rFonts w:ascii="Verdana" w:hAnsi="Verdana"/>
        <w:sz w:val="18"/>
        <w:szCs w:val="18"/>
      </w:rPr>
      <w:t xml:space="preserve"> di </w:t>
    </w:r>
    <w:r w:rsidRPr="007D0DBC">
      <w:rPr>
        <w:rFonts w:ascii="Verdana" w:hAnsi="Verdana"/>
        <w:sz w:val="18"/>
        <w:szCs w:val="18"/>
      </w:rPr>
      <w:fldChar w:fldCharType="begin"/>
    </w:r>
    <w:r w:rsidRPr="007D0DBC">
      <w:rPr>
        <w:rFonts w:ascii="Verdana" w:hAnsi="Verdana"/>
        <w:sz w:val="18"/>
        <w:szCs w:val="18"/>
      </w:rPr>
      <w:instrText>NUMPAGES  \* Arabic  \* MERGEFORMAT</w:instrText>
    </w:r>
    <w:r w:rsidRPr="007D0DBC">
      <w:rPr>
        <w:rFonts w:ascii="Verdana" w:hAnsi="Verdana"/>
        <w:sz w:val="18"/>
        <w:szCs w:val="18"/>
      </w:rPr>
      <w:fldChar w:fldCharType="separate"/>
    </w:r>
    <w:r w:rsidR="00217B30">
      <w:rPr>
        <w:rFonts w:ascii="Verdana" w:hAnsi="Verdana"/>
        <w:noProof/>
        <w:sz w:val="18"/>
        <w:szCs w:val="18"/>
      </w:rPr>
      <w:t>25</w:t>
    </w:r>
    <w:r w:rsidRPr="007D0DBC">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3728" w14:textId="77777777" w:rsidR="009D31B5" w:rsidRDefault="009D31B5" w:rsidP="007D0DBC">
      <w:pPr>
        <w:spacing w:after="0" w:line="240" w:lineRule="auto"/>
      </w:pPr>
      <w:r>
        <w:separator/>
      </w:r>
    </w:p>
  </w:footnote>
  <w:footnote w:type="continuationSeparator" w:id="0">
    <w:p w14:paraId="133E73D6" w14:textId="77777777" w:rsidR="009D31B5" w:rsidRDefault="009D31B5" w:rsidP="007D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000" w:firstRow="0" w:lastRow="0" w:firstColumn="0" w:lastColumn="0" w:noHBand="0" w:noVBand="0"/>
    </w:tblPr>
    <w:tblGrid>
      <w:gridCol w:w="2447"/>
      <w:gridCol w:w="7410"/>
    </w:tblGrid>
    <w:tr w:rsidR="00926E12" w:rsidRPr="00926E12" w14:paraId="3A5EB365" w14:textId="77777777" w:rsidTr="00FC037B">
      <w:tc>
        <w:tcPr>
          <w:tcW w:w="2447" w:type="dxa"/>
        </w:tcPr>
        <w:p w14:paraId="47AA2BED" w14:textId="1D09AF4D" w:rsidR="00926E12" w:rsidRPr="00926E12" w:rsidRDefault="00926E12" w:rsidP="00926E12">
          <w:pPr>
            <w:suppressAutoHyphens/>
            <w:spacing w:after="0" w:line="240" w:lineRule="auto"/>
            <w:ind w:left="585"/>
            <w:jc w:val="center"/>
            <w:rPr>
              <w:rFonts w:ascii="Tahoma" w:eastAsia="Times New Roman" w:hAnsi="Tahoma" w:cs="Tahoma"/>
              <w:sz w:val="60"/>
              <w:szCs w:val="18"/>
              <w:lang w:eastAsia="ar-SA"/>
            </w:rPr>
          </w:pPr>
          <w:r w:rsidRPr="00926E12">
            <w:rPr>
              <w:rFonts w:ascii="Tahoma" w:eastAsia="Times New Roman" w:hAnsi="Tahoma" w:cs="Tahoma"/>
              <w:noProof/>
              <w:sz w:val="60"/>
              <w:szCs w:val="18"/>
              <w:lang w:eastAsia="it-IT"/>
            </w:rPr>
            <w:drawing>
              <wp:inline distT="0" distB="0" distL="0" distR="0" wp14:anchorId="1188C996" wp14:editId="238AC08D">
                <wp:extent cx="952500" cy="1019175"/>
                <wp:effectExtent l="0" t="0" r="0" b="9525"/>
                <wp:docPr id="1" name="Immagine 1" descr="stemmaC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tc>
      <w:tc>
        <w:tcPr>
          <w:tcW w:w="7410" w:type="dxa"/>
        </w:tcPr>
        <w:p w14:paraId="6663F1EC" w14:textId="77777777" w:rsidR="00926E12" w:rsidRPr="00926E12" w:rsidRDefault="00926E12" w:rsidP="00926E12">
          <w:pPr>
            <w:suppressAutoHyphens/>
            <w:spacing w:after="0" w:line="240" w:lineRule="auto"/>
            <w:ind w:left="-497"/>
            <w:jc w:val="center"/>
            <w:rPr>
              <w:rFonts w:ascii="Times New Roman" w:eastAsia="Times New Roman" w:hAnsi="Times New Roman" w:cs="Tahoma"/>
              <w:b/>
              <w:sz w:val="72"/>
              <w:szCs w:val="18"/>
              <w:lang w:eastAsia="ar-SA"/>
            </w:rPr>
          </w:pPr>
          <w:r w:rsidRPr="00926E12">
            <w:rPr>
              <w:rFonts w:ascii="Times New Roman" w:eastAsia="Times New Roman" w:hAnsi="Times New Roman" w:cs="Tahoma"/>
              <w:b/>
              <w:sz w:val="72"/>
              <w:szCs w:val="18"/>
              <w:lang w:eastAsia="ar-SA"/>
            </w:rPr>
            <w:t>COMUNE di CEVO</w:t>
          </w:r>
        </w:p>
        <w:p w14:paraId="2344C7DF" w14:textId="77777777" w:rsidR="00926E12" w:rsidRPr="00926E12" w:rsidRDefault="00926E12" w:rsidP="00926E12">
          <w:pPr>
            <w:suppressAutoHyphens/>
            <w:spacing w:after="0" w:line="240" w:lineRule="auto"/>
            <w:ind w:left="-497"/>
            <w:jc w:val="center"/>
            <w:rPr>
              <w:rFonts w:ascii="Tahoma" w:eastAsia="Times New Roman" w:hAnsi="Tahoma" w:cs="Tahoma"/>
              <w:bCs/>
              <w:i/>
              <w:iCs/>
              <w:sz w:val="32"/>
              <w:szCs w:val="18"/>
              <w:lang w:eastAsia="ar-SA"/>
            </w:rPr>
          </w:pPr>
          <w:r w:rsidRPr="00926E12">
            <w:rPr>
              <w:rFonts w:ascii="Tahoma" w:eastAsia="Times New Roman" w:hAnsi="Tahoma" w:cs="Tahoma"/>
              <w:bCs/>
              <w:i/>
              <w:iCs/>
              <w:sz w:val="32"/>
              <w:szCs w:val="18"/>
              <w:lang w:eastAsia="ar-SA"/>
            </w:rPr>
            <w:t>(Provincia di Brescia)</w:t>
          </w:r>
        </w:p>
        <w:p w14:paraId="20B48763" w14:textId="77777777" w:rsidR="00926E12" w:rsidRPr="00926E12" w:rsidRDefault="00926E12" w:rsidP="00926E12">
          <w:pPr>
            <w:suppressAutoHyphens/>
            <w:spacing w:after="0" w:line="240" w:lineRule="auto"/>
            <w:ind w:left="-497"/>
            <w:jc w:val="center"/>
            <w:rPr>
              <w:rFonts w:ascii="Tahoma" w:eastAsia="Times New Roman" w:hAnsi="Tahoma" w:cs="Tahoma"/>
              <w:sz w:val="60"/>
              <w:szCs w:val="18"/>
              <w:lang w:eastAsia="ar-SA"/>
            </w:rPr>
          </w:pPr>
        </w:p>
        <w:p w14:paraId="48BA9E7B" w14:textId="77777777" w:rsidR="00926E12" w:rsidRPr="00926E12" w:rsidRDefault="00926E12" w:rsidP="00926E12">
          <w:pPr>
            <w:suppressAutoHyphens/>
            <w:spacing w:after="0" w:line="240" w:lineRule="auto"/>
            <w:ind w:left="-497"/>
            <w:jc w:val="center"/>
            <w:rPr>
              <w:rFonts w:ascii="Tahoma" w:eastAsia="Times New Roman" w:hAnsi="Tahoma" w:cs="Tahoma"/>
              <w:b/>
              <w:sz w:val="28"/>
              <w:szCs w:val="18"/>
              <w:lang w:eastAsia="ar-SA"/>
            </w:rPr>
          </w:pPr>
        </w:p>
      </w:tc>
    </w:tr>
    <w:tr w:rsidR="00926E12" w:rsidRPr="00926E12" w14:paraId="6931B165" w14:textId="77777777" w:rsidTr="00FC037B">
      <w:tc>
        <w:tcPr>
          <w:tcW w:w="9857" w:type="dxa"/>
          <w:gridSpan w:val="2"/>
          <w:tcBorders>
            <w:top w:val="nil"/>
            <w:left w:val="nil"/>
            <w:bottom w:val="single" w:sz="18" w:space="0" w:color="auto"/>
            <w:right w:val="nil"/>
          </w:tcBorders>
        </w:tcPr>
        <w:p w14:paraId="5E14F3F2" w14:textId="77777777" w:rsidR="00926E12" w:rsidRPr="00926E12" w:rsidRDefault="00926E12" w:rsidP="00926E12">
          <w:pPr>
            <w:suppressAutoHyphens/>
            <w:spacing w:after="0" w:line="240" w:lineRule="auto"/>
            <w:jc w:val="center"/>
            <w:rPr>
              <w:rFonts w:ascii="Tahoma" w:eastAsia="Times New Roman" w:hAnsi="Tahoma" w:cs="Tahoma"/>
              <w:sz w:val="16"/>
              <w:szCs w:val="18"/>
              <w:lang w:eastAsia="ar-SA"/>
            </w:rPr>
          </w:pPr>
          <w:r w:rsidRPr="00926E12">
            <w:rPr>
              <w:rFonts w:ascii="Tahoma" w:eastAsia="Times New Roman" w:hAnsi="Tahoma" w:cs="Tahoma"/>
              <w:sz w:val="16"/>
              <w:szCs w:val="18"/>
              <w:lang w:eastAsia="ar-SA"/>
            </w:rPr>
            <w:t>Via Roma, 22  CAP 25040 CEVO - tel.0364/634104 -  - fax 0364/634357  P.ta IVA 00592090989 - Cod. Fisc. 00959860172</w:t>
          </w:r>
        </w:p>
        <w:p w14:paraId="64DF64FA" w14:textId="77777777" w:rsidR="00926E12" w:rsidRPr="00926E12" w:rsidRDefault="00926E12" w:rsidP="00926E12">
          <w:pPr>
            <w:suppressAutoHyphens/>
            <w:spacing w:after="0" w:line="240" w:lineRule="auto"/>
            <w:jc w:val="center"/>
            <w:rPr>
              <w:rFonts w:ascii="Tahoma" w:eastAsia="Times New Roman" w:hAnsi="Tahoma" w:cs="Tahoma"/>
              <w:sz w:val="16"/>
              <w:szCs w:val="18"/>
              <w:lang w:val="en-GB" w:eastAsia="ar-SA"/>
            </w:rPr>
          </w:pPr>
          <w:r w:rsidRPr="00926E12">
            <w:rPr>
              <w:rFonts w:ascii="Tahoma" w:eastAsia="Times New Roman" w:hAnsi="Tahoma" w:cs="Tahoma"/>
              <w:sz w:val="16"/>
              <w:szCs w:val="18"/>
              <w:lang w:val="en-GB" w:eastAsia="ar-SA"/>
            </w:rPr>
            <w:t>Mail: info@comune.cevo.bs.it</w:t>
          </w:r>
        </w:p>
      </w:tc>
    </w:tr>
  </w:tbl>
  <w:p w14:paraId="70A2E78B" w14:textId="77777777" w:rsidR="000F1FFE" w:rsidRPr="007D0DBC" w:rsidRDefault="000F1FFE" w:rsidP="00926E12">
    <w:pPr>
      <w:pStyle w:val="Intestazione"/>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03C4"/>
    <w:multiLevelType w:val="multilevel"/>
    <w:tmpl w:val="2CD6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11C2A"/>
    <w:multiLevelType w:val="multilevel"/>
    <w:tmpl w:val="52C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63B14"/>
    <w:multiLevelType w:val="multilevel"/>
    <w:tmpl w:val="5834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D6653"/>
    <w:multiLevelType w:val="multilevel"/>
    <w:tmpl w:val="94867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AD"/>
    <w:rsid w:val="00054D01"/>
    <w:rsid w:val="000F1FFE"/>
    <w:rsid w:val="001D079E"/>
    <w:rsid w:val="00217B30"/>
    <w:rsid w:val="00306BA0"/>
    <w:rsid w:val="007D0DBC"/>
    <w:rsid w:val="008A58AD"/>
    <w:rsid w:val="00926E12"/>
    <w:rsid w:val="009D31B5"/>
    <w:rsid w:val="00C0015D"/>
    <w:rsid w:val="00C32361"/>
    <w:rsid w:val="00D26C2A"/>
    <w:rsid w:val="00FD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C2FD"/>
  <w15:chartTrackingRefBased/>
  <w15:docId w15:val="{9DD1F746-5E74-4149-9CBE-CE471F8E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0D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0DBC"/>
  </w:style>
  <w:style w:type="paragraph" w:styleId="Pidipagina">
    <w:name w:val="footer"/>
    <w:basedOn w:val="Normale"/>
    <w:link w:val="PidipaginaCarattere"/>
    <w:uiPriority w:val="99"/>
    <w:unhideWhenUsed/>
    <w:rsid w:val="007D0D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0DBC"/>
  </w:style>
  <w:style w:type="paragraph" w:styleId="NormaleWeb">
    <w:name w:val="Normal (Web)"/>
    <w:basedOn w:val="Normale"/>
    <w:uiPriority w:val="99"/>
    <w:unhideWhenUsed/>
    <w:rsid w:val="007D0DBC"/>
    <w:pPr>
      <w:spacing w:before="100" w:beforeAutospacing="1" w:after="119"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D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D2DBC"/>
    <w:rPr>
      <w:b/>
      <w:bCs/>
    </w:rPr>
  </w:style>
  <w:style w:type="character" w:styleId="Enfasicorsivo">
    <w:name w:val="Emphasis"/>
    <w:basedOn w:val="Carpredefinitoparagrafo"/>
    <w:uiPriority w:val="20"/>
    <w:qFormat/>
    <w:rsid w:val="00FD2DBC"/>
    <w:rPr>
      <w:i/>
      <w:iCs/>
    </w:rPr>
  </w:style>
  <w:style w:type="character" w:styleId="Collegamentoipertestuale">
    <w:name w:val="Hyperlink"/>
    <w:uiPriority w:val="99"/>
    <w:semiHidden/>
    <w:unhideWhenUsed/>
    <w:qFormat/>
    <w:rsid w:val="000F1FFE"/>
    <w:rPr>
      <w:color w:val="0066CC"/>
      <w:u w:val="single" w:color="0000FF"/>
    </w:rPr>
  </w:style>
  <w:style w:type="paragraph" w:styleId="Testofumetto">
    <w:name w:val="Balloon Text"/>
    <w:basedOn w:val="Normale"/>
    <w:link w:val="TestofumettoCarattere"/>
    <w:uiPriority w:val="99"/>
    <w:semiHidden/>
    <w:unhideWhenUsed/>
    <w:rsid w:val="00D26C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77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era.it/leg17/494?idLegislatura=17&amp;categoria=038&amp;tipologiaDoc=elenco_catego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18402</Words>
  <Characters>104894</Characters>
  <Application>Microsoft Office Word</Application>
  <DocSecurity>0</DocSecurity>
  <Lines>874</Lines>
  <Paragraphs>246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Parolari</cp:lastModifiedBy>
  <cp:revision>4</cp:revision>
  <cp:lastPrinted>2021-03-30T10:43:00Z</cp:lastPrinted>
  <dcterms:created xsi:type="dcterms:W3CDTF">2021-07-17T08:00:00Z</dcterms:created>
  <dcterms:modified xsi:type="dcterms:W3CDTF">2021-07-17T08:02:00Z</dcterms:modified>
</cp:coreProperties>
</file>