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2023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80015590179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COMUNE DI ZONE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1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ELISA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CHIARI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Segretario Comunale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 xml:space="preserve">Segretaria comunale 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01/09/2022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  <w:br/>
        <w:t>RPCT svolge le proprie funzioni anche in altri Comuni.</w:t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sono state avviate le attività e, dunque, sono attualmente in corso di adozione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>Il codice di comportamento è stato adottato nel 2013 ed è stato aggiornato almeno una volta dopo la sua prima adozione.</w:t>
        <w:br/>
        <w:t>Il codice contiene le seguenti disposizioni ulteriori a quelle del D.P.R. n.62/2013:</w:t>
        <w:br/>
        <w:t xml:space="preserve">  - le caratteristiche specifiche dell’ente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 xml:space="preserve">Non è stata approvata/inserita nel Codice di Comportamento una apposita procedura di rilevazione delle situazioni di conflitto di interessi (Cfr. PNA 2019, Parte III, § 1.4, pag 50 e § 9 della Delibera ANAC n. 177/ 2020), per le seguenti motivazioni:  la procedura prevede la dichiarazione del dipendente e l'analisi da parte del responsabile relativo 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 xml:space="preserve"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ente di ridotte dimensioni 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 xml:space="preserve"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la verifica avviene su cv e dichiarazione sostitutiva </w:t>
        <w:br/>
        <w:t/>
        <w:br/>
        <w:t xml:space="preserve">INCONFERIBILITÀ </w:t>
        <w:br/>
        <w:t>Nell'anno di riferimento del PTPCT o della sezione Anticorruzione e Trasparenza del PIAO in esame, sono pervenute 1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1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  <w:br/>
        <w:t>Sono stati effettuati controlli sui precedenti penali nell’anno di riferimento del PTPCT o della sezione Anticorruzione e Trasparenza del PIAO, più in dettaglio:</w:t>
        <w:br/>
        <w:t xml:space="preserve">  - sono state effettuate 1 verifiche</w:t>
        <w:br/>
        <w:t xml:space="preserve">  - a seguito dei controlli effettuati, non sono state accertate violazioni.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8</w:t>
        <w:br/>
        <w:t xml:space="preserve">    - Funzionari per un numero medio di ore 4</w:t>
        <w:br/>
        <w:t xml:space="preserve">    - Altro personale per un numero medio di ore 4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affidata a soggetti esterni in dettaglio:</w:t>
        <w:br/>
        <w:t xml:space="preserve">  - comunità montana 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ha solo in parte realizzato l'informatizzazione del flusso per alimentare la pubblicazione dei dati nella sezione “Amministrazione trasparente”.</w:t>
        <w:br/>
        <w:t/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5002 e la sezione che ha ricevuto il numero maggiore di visite è stata  "Organizzazione".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t/>
        <w:br/>
        <w:t xml:space="preserve">In merito al livello di adempimento degli obblighi di trasparenza, si formula il seguente giudizio: il livello è buono, il personale disponibile ed efficiente, deve essere implementata una modalità di popolamento automatico delle pagine per rendere più agevole l'adempimento.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  <w:br/>
        <w:t>Sono state avviate le attività e, dunque, la misura è attualmente in corso di adozione.</w:t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 xml:space="preserve">non ritenuto necessario sulla base dell'analisi del contesto 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/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>Sono stati predisposti e utilizzati protocolli di legalità o patti d’integrità per l’affidamento di commesse.</w:t>
        <w:br/>
        <w:t>Le clausole dei Patti di Integrità o protocolli di legalità non sono ancora state inserite in alcun bando.</w:t>
        <w:br/>
        <w:t/>
        <w:br/>
        <w:t>Non sono state previste clausole sul rispetto dei Patti di Integrità nei contratti stipulati nell’anno di riferimento del PTPCT o della sezione Anticorruzione e Trasparenza del PIAO in esame.</w:t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  <w:br/>
        <w:t xml:space="preserve">  - neutrale su xxxx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 xml:space="preserve">Nel PTPCT o nella sezione Anticorruzione e Trasparenza del PIAOi n esame non sono state programmate misure specifiche. Le ragioni alla base della mancata programmazione delle misure specifiche sono di seguito riportate:  non ritenute necessarie per la realtà dell'ente 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 in ragione di si è innalzato il livello di attenzione e di consapevolazza </w:t>
        <w:br/>
        <w:t xml:space="preserve">  - la capacità di individuare e far emergere situazioni di rischio corruttivo e di intervenire con adeguati rimedi  è aumentata in ragione di non vi erano misure previste. un miglioramento, seppur non si sono verificati eventi corruttivi, può essere attribuito senza dubbio al sistema</w:t>
        <w:br/>
        <w:t xml:space="preserve">  - la reputazione dell'ente  è rimasta invariata in ragione di non sono mai emersi in passato fenomeni corruttivi. La reputazione è già alta 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mancanza di tempo e di risorse per il rpc</w:t>
        <w:br/>
        <w:t xml:space="preserve"> </w:t>
        <w:br/>
        <w:t xml:space="preserve">Si ritiene che l’idoneità complessiva della strategia di prevenzione della corruzione (definita attraverso una valutazione sintetica) con particolare riferimento alle misure previste nel Piano e attuate sia parzialmente idoneo, per le seguenti ragioni:mancanza di tempo e risorse per il rpc </w:t>
        <w:br/>
        <w:t xml:space="preserve"> </w:t>
        <w:br/>
        <w:t xml:space="preserve">Si ritiene che l'esercizio del ruolo di impulso e coordinamento del RPCT rispetto alla messa in atto del processo di gestione del rischio (definito attraverso una valutazione sintetica) sia stato idoneo, per le seguenti ragioni:coinvolgimento di tutti gli attori possibili 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