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40FCD10D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F144EE">
        <w:rPr>
          <w:rFonts w:asciiTheme="minorHAnsi" w:hAnsiTheme="minorHAnsi" w:cstheme="minorHAnsi" w:hint="default"/>
          <w:szCs w:val="24"/>
        </w:rPr>
        <w:t>4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7B27DEF5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016297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ROMA</w:t>
      </w:r>
      <w:r w:rsidR="00B41758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-</w:t>
      </w:r>
      <w:r w:rsidR="00016297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NAPOLI-POMPEI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14406267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giorni, dal 1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/2024 al 1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5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4B1A3A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7E2781F4" w:rsidR="00314ACD" w:rsidRPr="00314ACD" w:rsidRDefault="0010048E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3G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3T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3A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2E11E0FE" w:rsidR="00314ACD" w:rsidRPr="00314ACD" w:rsidRDefault="00705DC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04F522EA" w:rsidR="00314ACD" w:rsidRPr="00314ACD" w:rsidRDefault="00705DC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</w:tbl>
    <w:p w14:paraId="0F0AFC15" w14:textId="7D6B78EC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10048E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Roma-Napoli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-</w:t>
      </w:r>
      <w:r w:rsidR="0010048E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Pompei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23CFEB6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Roma (</w:t>
      </w:r>
      <w:r w:rsidR="0010048E" w:rsidRPr="0010048E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in posizione centrale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="00432CB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e 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Napoli (</w:t>
      </w:r>
      <w:r w:rsidR="0010048E" w:rsidRPr="0010048E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hotel situato nell’Area Flegrea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4FCFE807" w:rsidR="00314ACD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Roma: visita libera della Città (Parlamento, Fontana di Trevi, Colosseo</w:t>
            </w:r>
            <w:r w:rsidR="00ED5AF3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, Villa Adriana</w:t>
            </w: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67B9F287" w:rsidR="003C170D" w:rsidRPr="0010048E" w:rsidRDefault="003C170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1FCC" w14:textId="77777777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76C10D63" w:rsidR="0010048E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Theme="minorHAnsi" w:hAnsiTheme="minorHAnsi" w:cstheme="minorHAnsi"/>
                <w:sz w:val="24"/>
                <w:szCs w:val="24"/>
              </w:rPr>
              <w:t>Roma (posizione centrale)</w:t>
            </w:r>
          </w:p>
        </w:tc>
      </w:tr>
      <w:tr w:rsidR="00314ACD" w:rsidRPr="0010048E" w14:paraId="62AD7BE8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ECC" w14:textId="25C5FDB2" w:rsidR="00314ACD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Napoli: visita libera della Città (Spaccanapoli, Cappella S. Severo, San Gregorio Armeno, Duomo di Napoli, Basilica di Santa Chiara, Via dei Tribunali, Via Toledo)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4D828526" w:rsidR="00575D05" w:rsidRPr="0010048E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F0F1" w14:textId="77777777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D31D8" w14:textId="77777777" w:rsidR="0010048E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D0F37" w14:textId="1AF74B2A" w:rsidR="0010048E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Theme="minorHAnsi" w:hAnsiTheme="minorHAnsi" w:cstheme="minorHAnsi"/>
                <w:sz w:val="24"/>
                <w:szCs w:val="24"/>
              </w:rPr>
              <w:t>Napoli (Hotel situato nell’Area Flegrea)</w:t>
            </w:r>
          </w:p>
        </w:tc>
      </w:tr>
      <w:tr w:rsidR="00314ACD" w:rsidRPr="0010048E" w14:paraId="0F35AF0A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50E2291C" w:rsidR="00314ACD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Pompei: visita al Sito archeologico di Pompei (il Foro, la Villa dei Misteri, Anfiteatro, Orto dei Fuggiaschi, casa del Fauno)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7D4C7884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6851" w14:textId="77777777" w:rsidR="00314ACD" w:rsidRPr="0010048E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5B7B6" w14:textId="6A3A907A" w:rsidR="0010048E" w:rsidRPr="0010048E" w:rsidRDefault="0010048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048E">
              <w:rPr>
                <w:rFonts w:ascii="Calibri" w:hAnsi="Calibri" w:cs="Calibri"/>
                <w:sz w:val="24"/>
                <w:szCs w:val="24"/>
              </w:rPr>
              <w:t>Napoli (Hotel situato nell’Area Flegrea)</w:t>
            </w:r>
          </w:p>
        </w:tc>
      </w:tr>
      <w:tr w:rsidR="0010048E" w:rsidRPr="00314ACD" w14:paraId="225C60C0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10048E" w:rsidRPr="00314ACD" w:rsidRDefault="0010048E" w:rsidP="0010048E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A9AE5" w14:textId="77777777" w:rsidR="0010048E" w:rsidRPr="0010048E" w:rsidRDefault="0010048E" w:rsidP="0010048E">
            <w:pPr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Napoli: visita della Città (Maschio Angioino, Piazza Plebiscito, Quartieri Spagnoli, Belvedere di S. Martino) </w:t>
            </w:r>
          </w:p>
          <w:p w14:paraId="31D3F2F0" w14:textId="08850223" w:rsidR="0010048E" w:rsidRPr="0010048E" w:rsidRDefault="0010048E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0048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Partenza per il viaggio di Rientro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3E108883" w:rsidR="0010048E" w:rsidRPr="0010048E" w:rsidRDefault="0010048E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9B" w14:textId="2F006ADE" w:rsidR="0010048E" w:rsidRPr="00314ACD" w:rsidRDefault="0010048E" w:rsidP="0010048E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760540BD" w:rsidR="00314ACD" w:rsidRP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ED5AF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Villa Adriana, 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guide in esterno per la Città</w:t>
      </w:r>
      <w:r w:rsidR="00FA0B2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di Roma e Napoli</w:t>
      </w:r>
      <w:r w:rsidR="005B629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,</w:t>
      </w:r>
      <w:r w:rsidR="00ED5AF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FA0B2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Guida e Biglietti per il sito archeologico di Pompei</w:t>
      </w:r>
      <w:r w:rsidR="005B629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32EB4FC2" w14:textId="77777777" w:rsidR="00314ACD" w:rsidRDefault="00314ACD" w:rsidP="00314ACD">
      <w:pPr>
        <w:rPr>
          <w:rFonts w:asciiTheme="minorHAnsi" w:hAnsiTheme="minorHAnsi" w:cstheme="minorHAnsi"/>
        </w:rPr>
      </w:pPr>
    </w:p>
    <w:p w14:paraId="6D47097E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ED5AF3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ED5AF3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05DC3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D5AF3"/>
    <w:rsid w:val="00EF3515"/>
    <w:rsid w:val="00F144EE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34</cp:revision>
  <cp:lastPrinted>2023-10-13T13:51:00Z</cp:lastPrinted>
  <dcterms:created xsi:type="dcterms:W3CDTF">2023-03-21T12:22:00Z</dcterms:created>
  <dcterms:modified xsi:type="dcterms:W3CDTF">2024-01-17T09:07:00Z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