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41A3036C"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5C3515">
              <w:rPr>
                <w:rFonts w:asciiTheme="minorHAnsi" w:hAnsiTheme="minorHAnsi"/>
                <w:b/>
                <w:sz w:val="27"/>
                <w:szCs w:val="27"/>
              </w:rPr>
              <w:t>“</w:t>
            </w:r>
            <w:r w:rsidR="0027326A" w:rsidRPr="0027326A">
              <w:rPr>
                <w:rFonts w:asciiTheme="minorHAnsi" w:hAnsiTheme="minorHAnsi"/>
                <w:b/>
                <w:sz w:val="27"/>
                <w:szCs w:val="27"/>
              </w:rPr>
              <w:t>RIQUALIFICAZIONE ED ALLARGAMENTO DELLA VIA DALEGNO IN COMUNE DI PONTE DI LEGNO - LOTTO 3</w:t>
            </w:r>
            <w:r w:rsidR="00AB3131" w:rsidRPr="00432C31">
              <w:rPr>
                <w:rFonts w:asciiTheme="minorHAnsi" w:hAnsiTheme="minorHAnsi"/>
                <w:b/>
                <w:sz w:val="27"/>
                <w:szCs w:val="27"/>
              </w:rPr>
              <w:t>”</w:t>
            </w:r>
            <w:r w:rsidR="00AB3131">
              <w:rPr>
                <w:rFonts w:asciiTheme="minorHAnsi" w:hAnsiTheme="minorHAnsi"/>
                <w:b/>
                <w:sz w:val="27"/>
                <w:szCs w:val="27"/>
              </w:rPr>
              <w:t xml:space="preserve"> </w:t>
            </w:r>
            <w:r w:rsidR="005C3515">
              <w:rPr>
                <w:rFonts w:asciiTheme="minorHAnsi" w:hAnsiTheme="minorHAnsi"/>
                <w:b/>
                <w:sz w:val="27"/>
                <w:szCs w:val="27"/>
              </w:rPr>
              <w:t xml:space="preserve">- </w:t>
            </w:r>
            <w:r w:rsidR="00AB3131" w:rsidRPr="00432C31">
              <w:rPr>
                <w:rFonts w:asciiTheme="minorHAnsi" w:hAnsiTheme="minorHAnsi"/>
                <w:b/>
                <w:sz w:val="27"/>
                <w:szCs w:val="27"/>
              </w:rPr>
              <w:t xml:space="preserve">CUP </w:t>
            </w:r>
            <w:r w:rsidR="0027326A" w:rsidRPr="0027326A">
              <w:rPr>
                <w:rFonts w:asciiTheme="minorHAnsi" w:hAnsiTheme="minorHAnsi"/>
                <w:b/>
                <w:sz w:val="27"/>
                <w:szCs w:val="27"/>
              </w:rPr>
              <w:t>H17H22003400004</w:t>
            </w:r>
          </w:p>
          <w:p w14:paraId="5F0B8290" w14:textId="735D8480" w:rsidR="00AB3131" w:rsidRPr="00C87ABA" w:rsidRDefault="00AB3131" w:rsidP="00003F3A">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F152B1" w:rsidRPr="00F152B1">
              <w:rPr>
                <w:rFonts w:asciiTheme="minorHAnsi" w:hAnsiTheme="minorHAnsi"/>
                <w:b/>
                <w:sz w:val="27"/>
                <w:szCs w:val="27"/>
              </w:rPr>
              <w:t>B77F35B48F</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C8328A">
        <w:tc>
          <w:tcPr>
            <w:tcW w:w="9344"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w:t>
            </w:r>
            <w:r w:rsidRPr="0009235A">
              <w:rPr>
                <w:rFonts w:ascii="Calibri" w:hAnsi="Calibri" w:cs="Calibri"/>
                <w:sz w:val="20"/>
                <w:szCs w:val="20"/>
              </w:rPr>
              <w:lastRenderedPageBreak/>
              <w:t>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w:t>
            </w:r>
            <w:r w:rsidRPr="0009235A">
              <w:rPr>
                <w:rFonts w:ascii="Calibri" w:hAnsi="Calibri" w:cs="Calibri"/>
                <w:sz w:val="20"/>
                <w:szCs w:val="20"/>
              </w:rPr>
              <w:lastRenderedPageBreak/>
              <w:t>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dalla data di emissione di uno degli atti di cui all’articolo 407-bis, comma 1, del codice di procedura penale oppure di eventuali provvedimenti cautelari personali o reali del giudice penale, se antecedenti all’esercizio </w:t>
            </w:r>
            <w:r w:rsidRPr="0009235A">
              <w:rPr>
                <w:rFonts w:ascii="Calibri" w:hAnsi="Calibri" w:cs="Calibri"/>
                <w:b/>
                <w:sz w:val="20"/>
                <w:szCs w:val="20"/>
              </w:rPr>
              <w:lastRenderedPageBreak/>
              <w:t>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lastRenderedPageBreak/>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5FDCA49F" w14:textId="584064DD" w:rsidR="00ED6F4D" w:rsidRPr="006C6241" w:rsidRDefault="00ED6F4D" w:rsidP="00AC6357">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lastRenderedPageBreak/>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lastRenderedPageBreak/>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lastRenderedPageBreak/>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5C93" w14:textId="77777777" w:rsidR="00D36ACC" w:rsidRDefault="00D36ACC" w:rsidP="00ED6F4D">
      <w:r>
        <w:separator/>
      </w:r>
    </w:p>
  </w:endnote>
  <w:endnote w:type="continuationSeparator" w:id="0">
    <w:p w14:paraId="7532CB82" w14:textId="77777777" w:rsidR="00D36ACC" w:rsidRDefault="00D36ACC"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821B" w14:textId="77777777" w:rsidR="00D36ACC" w:rsidRDefault="00D36ACC" w:rsidP="00ED6F4D">
      <w:r>
        <w:separator/>
      </w:r>
    </w:p>
  </w:footnote>
  <w:footnote w:type="continuationSeparator" w:id="0">
    <w:p w14:paraId="367CC036" w14:textId="77777777" w:rsidR="00D36ACC" w:rsidRDefault="00D36ACC"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03F3A"/>
    <w:rsid w:val="0003164F"/>
    <w:rsid w:val="000A69DA"/>
    <w:rsid w:val="000F46A4"/>
    <w:rsid w:val="00137BA8"/>
    <w:rsid w:val="00186D64"/>
    <w:rsid w:val="0027326A"/>
    <w:rsid w:val="002F011E"/>
    <w:rsid w:val="00391695"/>
    <w:rsid w:val="003F3119"/>
    <w:rsid w:val="00413942"/>
    <w:rsid w:val="004235D5"/>
    <w:rsid w:val="004316FD"/>
    <w:rsid w:val="004379AE"/>
    <w:rsid w:val="004A5C14"/>
    <w:rsid w:val="004D64ED"/>
    <w:rsid w:val="0050256D"/>
    <w:rsid w:val="00524AD5"/>
    <w:rsid w:val="00597301"/>
    <w:rsid w:val="005C14F3"/>
    <w:rsid w:val="005C3515"/>
    <w:rsid w:val="005E62EA"/>
    <w:rsid w:val="0063607C"/>
    <w:rsid w:val="00681720"/>
    <w:rsid w:val="0074769A"/>
    <w:rsid w:val="007A2A36"/>
    <w:rsid w:val="00874812"/>
    <w:rsid w:val="00894002"/>
    <w:rsid w:val="0089485A"/>
    <w:rsid w:val="00A75EFC"/>
    <w:rsid w:val="00A95A7D"/>
    <w:rsid w:val="00AB3131"/>
    <w:rsid w:val="00AC6357"/>
    <w:rsid w:val="00B5768B"/>
    <w:rsid w:val="00B612BB"/>
    <w:rsid w:val="00BA15C5"/>
    <w:rsid w:val="00C217E8"/>
    <w:rsid w:val="00C258C2"/>
    <w:rsid w:val="00C45160"/>
    <w:rsid w:val="00C8328A"/>
    <w:rsid w:val="00C87ABA"/>
    <w:rsid w:val="00D14F5B"/>
    <w:rsid w:val="00D36ACC"/>
    <w:rsid w:val="00D963F5"/>
    <w:rsid w:val="00EA3326"/>
    <w:rsid w:val="00ED6F4D"/>
    <w:rsid w:val="00EF1F5A"/>
    <w:rsid w:val="00EF72FB"/>
    <w:rsid w:val="00F06F3B"/>
    <w:rsid w:val="00F152B1"/>
    <w:rsid w:val="00F22080"/>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5415</Words>
  <Characters>30866</Characters>
  <Application>Microsoft Office Word</Application>
  <DocSecurity>0</DocSecurity>
  <Lines>257</Lines>
  <Paragraphs>72</Paragraphs>
  <ScaleCrop>false</ScaleCrop>
  <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28</cp:revision>
  <dcterms:created xsi:type="dcterms:W3CDTF">2023-11-29T14:16:00Z</dcterms:created>
  <dcterms:modified xsi:type="dcterms:W3CDTF">2025-07-02T08:02:00Z</dcterms:modified>
</cp:coreProperties>
</file>