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D8" w:rsidRDefault="00C12AD8" w:rsidP="00C12AD8">
      <w:pPr>
        <w:spacing w:after="0" w:line="240" w:lineRule="auto"/>
        <w:jc w:val="center"/>
        <w:rPr>
          <w:rFonts w:ascii="Bookman Old Style" w:hAnsi="Bookman Old Style"/>
          <w:b/>
          <w:bCs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bCs/>
          <w:i/>
          <w:color w:val="000000"/>
          <w:sz w:val="24"/>
          <w:szCs w:val="24"/>
        </w:rPr>
        <w:t>Art. 28</w:t>
      </w:r>
    </w:p>
    <w:p w:rsidR="00C12AD8" w:rsidRDefault="00C12AD8" w:rsidP="00C12AD8">
      <w:pPr>
        <w:spacing w:after="0" w:line="240" w:lineRule="auto"/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/>
          <w:b/>
          <w:bCs/>
          <w:color w:val="000000"/>
          <w:sz w:val="24"/>
          <w:szCs w:val="24"/>
        </w:rPr>
        <w:t>Accertamento</w:t>
      </w:r>
    </w:p>
    <w:p w:rsidR="00C12AD8" w:rsidRDefault="00C12AD8" w:rsidP="00C12AD8">
      <w:pPr>
        <w:spacing w:after="0" w:line="240" w:lineRule="auto"/>
        <w:jc w:val="center"/>
        <w:rPr>
          <w:rFonts w:ascii="Bookman Old Style" w:hAnsi="Bookman Old Style"/>
          <w:b/>
          <w:bCs/>
          <w:color w:val="000000"/>
          <w:sz w:val="10"/>
          <w:szCs w:val="10"/>
        </w:rPr>
      </w:pPr>
    </w:p>
    <w:p w:rsidR="00C12AD8" w:rsidRDefault="00C12AD8" w:rsidP="00C12AD8">
      <w:pPr>
        <w:pStyle w:val="Corpotesto1"/>
        <w:shd w:val="clear" w:color="auto" w:fill="auto"/>
        <w:spacing w:line="240" w:lineRule="auto"/>
        <w:ind w:right="-1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>1.</w:t>
      </w:r>
      <w:r>
        <w:rPr>
          <w:rFonts w:ascii="Bookman Old Style" w:hAnsi="Bookman Old Style"/>
          <w:sz w:val="24"/>
          <w:szCs w:val="24"/>
        </w:rPr>
        <w:t xml:space="preserve"> Per quanto riguarda l’attività di accertamento si fa riferimento all’art. 11 del vigente “Regolamento per la disciplina generale delle entrate”,  approvato con deliberazione consiliare n. 12 del 16.03.2007.</w:t>
      </w:r>
    </w:p>
    <w:p w:rsidR="00C12AD8" w:rsidRDefault="00C12AD8" w:rsidP="00C12AD8">
      <w:pPr>
        <w:pStyle w:val="Corpotesto1"/>
        <w:shd w:val="clear" w:color="auto" w:fill="auto"/>
        <w:spacing w:line="240" w:lineRule="auto"/>
        <w:ind w:right="-1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particolare, l’omessa o l’infedele presentazione della dichiarazione è accertata notificando al soggetto passivo, anche a mezzo raccomandata A.R. inviata direttamente dal Comune, a pena di decadenza entro il 31 Dicembre del quinto anno successivo a quello in cui la dichiarazione è stata o avrebbe dovuto essere presentata, avviso di accertamento d’ufficio o in rettifica.</w:t>
      </w:r>
    </w:p>
    <w:p w:rsidR="00C12AD8" w:rsidRDefault="00C12AD8" w:rsidP="00C12AD8">
      <w:pPr>
        <w:pStyle w:val="Corpotesto1"/>
        <w:shd w:val="clear" w:color="auto" w:fill="auto"/>
        <w:spacing w:line="240" w:lineRule="auto"/>
        <w:ind w:right="-1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L’avviso di accertamento specifica le ragioni dell’atto e indica distintamente le somme dovute per tributo comunale, tributo provinciale, sanzioni, interessi di mora e spese di notifica, da versare in unica rata entro sessanta giorni dalla ricezione, e contiene l’avvertenza che, in caso di inadempimento, si procederà alla riscossione coattiva con aggravio delle spese di riscossione e degli ulteriori interessi di mora. </w:t>
      </w:r>
    </w:p>
    <w:p w:rsidR="00C12AD8" w:rsidRDefault="00C12AD8" w:rsidP="00C12AD8">
      <w:pPr>
        <w:pStyle w:val="Corpotesto1"/>
        <w:shd w:val="clear" w:color="auto" w:fill="auto"/>
        <w:spacing w:line="240" w:lineRule="auto"/>
        <w:ind w:right="-1" w:firstLine="0"/>
        <w:rPr>
          <w:rFonts w:ascii="Bookman Old Style" w:hAnsi="Bookman Old Style"/>
          <w:sz w:val="4"/>
          <w:szCs w:val="4"/>
        </w:rPr>
      </w:pPr>
    </w:p>
    <w:p w:rsidR="00C12AD8" w:rsidRDefault="00C12AD8" w:rsidP="00C12AD8">
      <w:pPr>
        <w:pStyle w:val="Corpotesto1"/>
        <w:shd w:val="clear" w:color="auto" w:fill="auto"/>
        <w:spacing w:line="240" w:lineRule="auto"/>
        <w:ind w:right="-1"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>2.</w:t>
      </w:r>
      <w:r>
        <w:rPr>
          <w:rFonts w:ascii="Bookman Old Style" w:hAnsi="Bookman Old Style"/>
          <w:sz w:val="24"/>
          <w:szCs w:val="24"/>
        </w:rPr>
        <w:t xml:space="preserve"> Qualora le somme complessivamente indicate negli avvisi, comprese le sanzioni e gli interessi applicabili, siano superiori ad Euro </w:t>
      </w:r>
      <w:r>
        <w:rPr>
          <w:rFonts w:ascii="Bookman Old Style" w:hAnsi="Bookman Old Style"/>
          <w:sz w:val="24"/>
          <w:szCs w:val="24"/>
          <w:lang w:val="it-IT"/>
        </w:rPr>
        <w:t xml:space="preserve">1.000,00 (mille/00), </w:t>
      </w:r>
      <w:r>
        <w:rPr>
          <w:rFonts w:ascii="Bookman Old Style" w:hAnsi="Bookman Old Style"/>
          <w:sz w:val="24"/>
          <w:szCs w:val="24"/>
        </w:rPr>
        <w:t xml:space="preserve">il contribuente può richiedere, non oltre il termine di versamento, una rateazione sino a </w:t>
      </w:r>
      <w:r>
        <w:rPr>
          <w:rFonts w:ascii="Bookman Old Style" w:hAnsi="Bookman Old Style"/>
          <w:sz w:val="24"/>
          <w:szCs w:val="24"/>
          <w:lang w:val="it-IT"/>
        </w:rPr>
        <w:t xml:space="preserve">4 (quattro) </w:t>
      </w:r>
      <w:r>
        <w:rPr>
          <w:rFonts w:ascii="Bookman Old Style" w:hAnsi="Bookman Old Style"/>
          <w:sz w:val="24"/>
          <w:szCs w:val="24"/>
        </w:rPr>
        <w:t xml:space="preserve">rate trimestrali, oltre agli interessi di cui all’articolo 29. L’utente decade dalla rateazione nel caso di ritardo superiore a quindici giorni nel versamento anche di una sola rata. </w:t>
      </w:r>
    </w:p>
    <w:p w:rsidR="00C12AD8" w:rsidRDefault="00C12AD8" w:rsidP="00C12AD8">
      <w:pPr>
        <w:autoSpaceDE w:val="0"/>
        <w:autoSpaceDN w:val="0"/>
        <w:adjustRightInd w:val="0"/>
        <w:spacing w:after="0" w:line="240" w:lineRule="auto"/>
        <w:ind w:right="-1"/>
        <w:rPr>
          <w:rFonts w:ascii="Bookman Old Style" w:hAnsi="Bookman Old Style"/>
          <w:bCs/>
          <w:color w:val="000000"/>
          <w:sz w:val="24"/>
          <w:szCs w:val="24"/>
        </w:rPr>
      </w:pPr>
      <w:r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 3.</w:t>
      </w:r>
      <w:r>
        <w:rPr>
          <w:rFonts w:ascii="Bookman Old Style" w:hAnsi="Bookman Old Style"/>
          <w:bCs/>
          <w:color w:val="000000"/>
          <w:sz w:val="24"/>
          <w:szCs w:val="24"/>
        </w:rPr>
        <w:t xml:space="preserve"> Gli accertamenti divenuti definitivi valgono come dichiarazione per le annualità successive all’intervenuta definitività. </w:t>
      </w:r>
    </w:p>
    <w:p w:rsidR="00C12AD8" w:rsidRDefault="00C12AD8" w:rsidP="00C12AD8">
      <w:pPr>
        <w:autoSpaceDE w:val="0"/>
        <w:autoSpaceDN w:val="0"/>
        <w:adjustRightInd w:val="0"/>
        <w:spacing w:after="0" w:line="240" w:lineRule="auto"/>
        <w:ind w:right="-1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C12AD8" w:rsidRDefault="00C12AD8" w:rsidP="00C12AD8">
      <w:pPr>
        <w:autoSpaceDE w:val="0"/>
        <w:autoSpaceDN w:val="0"/>
        <w:adjustRightInd w:val="0"/>
        <w:spacing w:after="0" w:line="240" w:lineRule="auto"/>
        <w:ind w:right="-1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C12AD8" w:rsidRDefault="00C12AD8" w:rsidP="00C12AD8">
      <w:pPr>
        <w:autoSpaceDE w:val="0"/>
        <w:autoSpaceDN w:val="0"/>
        <w:adjustRightInd w:val="0"/>
        <w:spacing w:after="0" w:line="240" w:lineRule="auto"/>
        <w:ind w:right="-1"/>
        <w:rPr>
          <w:rFonts w:ascii="Bookman Old Style" w:hAnsi="Bookman Old Style"/>
          <w:b/>
          <w:bCs/>
          <w:color w:val="000000"/>
          <w:sz w:val="18"/>
          <w:szCs w:val="18"/>
        </w:rPr>
      </w:pPr>
    </w:p>
    <w:p w:rsidR="00C12AD8" w:rsidRDefault="00C12AD8" w:rsidP="00C12AD8">
      <w:pPr>
        <w:spacing w:after="0" w:line="240" w:lineRule="auto"/>
        <w:jc w:val="center"/>
        <w:rPr>
          <w:rFonts w:ascii="Bookman Old Style" w:hAnsi="Bookman Old Style"/>
          <w:b/>
          <w:i/>
          <w:color w:val="000000"/>
          <w:sz w:val="24"/>
          <w:szCs w:val="24"/>
        </w:rPr>
      </w:pPr>
      <w:r>
        <w:rPr>
          <w:rFonts w:ascii="Bookman Old Style" w:hAnsi="Bookman Old Style"/>
          <w:b/>
          <w:i/>
          <w:color w:val="000000"/>
          <w:sz w:val="24"/>
          <w:szCs w:val="24"/>
        </w:rPr>
        <w:t>Art. 29</w:t>
      </w:r>
    </w:p>
    <w:p w:rsidR="00C12AD8" w:rsidRDefault="00C12AD8" w:rsidP="00C12AD8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Sanzioni ed interessi</w:t>
      </w:r>
    </w:p>
    <w:p w:rsidR="00C12AD8" w:rsidRDefault="00C12AD8" w:rsidP="00C12AD8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40"/>
          <w:szCs w:val="40"/>
        </w:rPr>
      </w:pPr>
    </w:p>
    <w:p w:rsidR="00C12AD8" w:rsidRDefault="00C12AD8" w:rsidP="00C12AD8">
      <w:pPr>
        <w:shd w:val="clear" w:color="auto" w:fill="FFFFFF"/>
        <w:spacing w:after="0" w:line="240" w:lineRule="auto"/>
        <w:ind w:right="-1"/>
        <w:contextualSpacing/>
        <w:rPr>
          <w:rFonts w:ascii="Bookman Old Style" w:hAnsi="Bookman Old Style"/>
          <w:color w:val="000000"/>
          <w:sz w:val="24"/>
          <w:szCs w:val="24"/>
          <w:lang w:val="x-none" w:eastAsia="x-none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b/>
          <w:sz w:val="24"/>
          <w:szCs w:val="24"/>
        </w:rPr>
        <w:t>1.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val="x-none" w:eastAsia="x-none"/>
        </w:rPr>
        <w:t xml:space="preserve">Per quanto riguarda la determinazione delle sanzioni e degli interessi si rimanda alla normativa nazionale vigente in materia – da intendersi al testo vigente dell’insieme delle norme stesse e rispetto al variare delle quali il presente Regolamento si adegua automaticamente - , nonché, per quanto compatibile con le suddette norme, all’art. 12 del vigente “Regolamento per la disciplina generale delle entrate”, approvato con deliberazione consiliare n. 12 del 16.03.2007. </w:t>
      </w:r>
    </w:p>
    <w:p w:rsidR="00C12AD8" w:rsidRDefault="00C12AD8" w:rsidP="00C12AD8">
      <w:pPr>
        <w:shd w:val="clear" w:color="auto" w:fill="FFFFFF"/>
        <w:spacing w:after="0" w:line="240" w:lineRule="auto"/>
        <w:ind w:right="-1"/>
        <w:contextualSpacing/>
        <w:rPr>
          <w:rFonts w:ascii="Bookman Old Style" w:hAnsi="Bookman Old Style"/>
          <w:color w:val="000000"/>
          <w:sz w:val="24"/>
          <w:szCs w:val="24"/>
          <w:lang w:val="x-none" w:eastAsia="x-none"/>
        </w:rPr>
      </w:pPr>
    </w:p>
    <w:p w:rsidR="00C12AD8" w:rsidRDefault="00C12AD8" w:rsidP="00C12AD8">
      <w:pPr>
        <w:shd w:val="clear" w:color="auto" w:fill="FFFFFF"/>
        <w:spacing w:after="0" w:line="240" w:lineRule="auto"/>
        <w:ind w:right="-1"/>
        <w:contextualSpacing/>
        <w:rPr>
          <w:rFonts w:ascii="Bookman Old Style" w:hAnsi="Bookman Old Style"/>
          <w:sz w:val="8"/>
          <w:szCs w:val="8"/>
        </w:rPr>
      </w:pPr>
    </w:p>
    <w:p w:rsidR="00C12AD8" w:rsidRDefault="00C12AD8" w:rsidP="00C12AD8">
      <w:pPr>
        <w:pStyle w:val="Corpotesto1"/>
        <w:shd w:val="clear" w:color="auto" w:fill="auto"/>
        <w:spacing w:line="240" w:lineRule="auto"/>
        <w:ind w:right="-1" w:firstLine="0"/>
        <w:rPr>
          <w:rFonts w:ascii="Bookman Old Style" w:hAnsi="Bookman Old Style"/>
          <w:sz w:val="24"/>
          <w:szCs w:val="24"/>
          <w:lang w:val="it-IT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>
        <w:rPr>
          <w:rFonts w:ascii="Bookman Old Style" w:hAnsi="Bookman Old Style"/>
          <w:b/>
          <w:sz w:val="24"/>
          <w:szCs w:val="24"/>
        </w:rPr>
        <w:t>2.</w:t>
      </w:r>
      <w:r>
        <w:rPr>
          <w:rFonts w:ascii="Bookman Old Style" w:hAnsi="Bookman Old Style"/>
          <w:sz w:val="24"/>
          <w:szCs w:val="24"/>
        </w:rPr>
        <w:t xml:space="preserve"> Gli interessi di mora, di rateazione e di rimborso sono computati nella misura del vigente tasso legale. </w:t>
      </w:r>
    </w:p>
    <w:p w:rsidR="00C12AD8" w:rsidRDefault="00C12AD8" w:rsidP="00C12AD8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-1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Gli interessi sono calcolati con maturazione giorno per giorno con decorrenza dal giorno in cui sono divenuti esigibili.</w:t>
      </w:r>
    </w:p>
    <w:p w:rsidR="00C12AD8" w:rsidRDefault="00C12AD8" w:rsidP="00C12AD8">
      <w:pPr>
        <w:shd w:val="clear" w:color="auto" w:fill="FFFFFF"/>
        <w:spacing w:after="0" w:line="240" w:lineRule="auto"/>
        <w:ind w:right="-1"/>
        <w:contextualSpacing/>
        <w:rPr>
          <w:rFonts w:ascii="Bookman Old Style" w:hAnsi="Bookman Old Style"/>
          <w:sz w:val="24"/>
          <w:szCs w:val="24"/>
        </w:rPr>
      </w:pPr>
    </w:p>
    <w:p w:rsidR="0083488A" w:rsidRPr="00566595" w:rsidRDefault="0083488A" w:rsidP="00566595"/>
    <w:sectPr w:rsidR="0083488A" w:rsidRPr="00566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F9"/>
    <w:rsid w:val="000A3BF9"/>
    <w:rsid w:val="000E170C"/>
    <w:rsid w:val="00566595"/>
    <w:rsid w:val="0083488A"/>
    <w:rsid w:val="00C1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98C96-B848-4D63-9D3D-6299A0EF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170C"/>
    <w:pPr>
      <w:spacing w:after="200" w:line="276" w:lineRule="auto"/>
      <w:jc w:val="both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odytext">
    <w:name w:val="Body text_"/>
    <w:link w:val="Corpotesto1"/>
    <w:locked/>
    <w:rsid w:val="000E170C"/>
    <w:rPr>
      <w:color w:val="000000"/>
      <w:shd w:val="clear" w:color="auto" w:fill="FFFFFF"/>
      <w:lang w:val="x-none" w:eastAsia="x-none"/>
    </w:rPr>
  </w:style>
  <w:style w:type="paragraph" w:customStyle="1" w:styleId="Corpotesto1">
    <w:name w:val="Corpo testo1"/>
    <w:basedOn w:val="Normale"/>
    <w:link w:val="Bodytext"/>
    <w:rsid w:val="000E170C"/>
    <w:pPr>
      <w:shd w:val="clear" w:color="auto" w:fill="FFFFFF"/>
      <w:spacing w:after="0" w:line="274" w:lineRule="exact"/>
      <w:ind w:hanging="360"/>
    </w:pPr>
    <w:rPr>
      <w:rFonts w:asciiTheme="minorHAnsi" w:eastAsiaTheme="minorHAnsi" w:hAnsiTheme="minorHAnsi" w:cstheme="minorBidi"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PR. Rossini</dc:creator>
  <cp:keywords/>
  <dc:description/>
  <cp:lastModifiedBy>Paola PR. Rossini</cp:lastModifiedBy>
  <cp:revision>5</cp:revision>
  <dcterms:created xsi:type="dcterms:W3CDTF">2021-03-11T11:38:00Z</dcterms:created>
  <dcterms:modified xsi:type="dcterms:W3CDTF">2021-03-11T11:56:00Z</dcterms:modified>
</cp:coreProperties>
</file>