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C8" w:rsidRDefault="007037C8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:rsidR="008C7536" w:rsidRDefault="008C7536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40079">
        <w:rPr>
          <w:rFonts w:ascii="Garamond" w:hAnsi="Garamond" w:cs="Times New Roman"/>
          <w:b/>
          <w:bCs/>
          <w:sz w:val="22"/>
          <w:szCs w:val="22"/>
        </w:rPr>
        <w:t>Documento di attestazione</w:t>
      </w:r>
    </w:p>
    <w:p w:rsidR="008C7536" w:rsidRPr="00040079" w:rsidRDefault="008C7536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:rsidR="008C7536" w:rsidRPr="00040079" w:rsidRDefault="00427642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76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Il Nucleo di Val</w:t>
      </w:r>
      <w:r w:rsidR="00523AF1">
        <w:rPr>
          <w:rFonts w:ascii="Garamond" w:hAnsi="Garamond" w:cs="Times New Roman"/>
          <w:sz w:val="22"/>
          <w:szCs w:val="22"/>
        </w:rPr>
        <w:t>utazione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 presso </w:t>
      </w:r>
      <w:r w:rsidR="008C7536" w:rsidRPr="00256C29">
        <w:rPr>
          <w:rFonts w:ascii="Garamond" w:hAnsi="Garamond" w:cs="Times New Roman"/>
          <w:sz w:val="22"/>
          <w:szCs w:val="22"/>
        </w:rPr>
        <w:t>la Comunità Montana di Valle Camonica ha effettuato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, ai sensi dell’art. 14, co. 4, lett. g), del d.lgs. n. 150/2009 e delle </w:t>
      </w:r>
      <w:r w:rsidR="008C7536" w:rsidRPr="00040079">
        <w:rPr>
          <w:rFonts w:ascii="Garamond" w:hAnsi="Garamond" w:cs="Times New Roman"/>
          <w:b/>
          <w:bCs/>
          <w:sz w:val="22"/>
          <w:szCs w:val="22"/>
        </w:rPr>
        <w:t>delibere ANAC n. 1310/2016 e n. 213/2020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, la verifica sulla pubblicazione, sulla completezza, sull’aggiornamento e sull’apertura del formato di ciascun documento, dato ed informazione elencati nell’Allegato 2.1 – Griglia di rilevazione al </w:t>
      </w:r>
      <w:r w:rsidR="008C7536" w:rsidRPr="00040079">
        <w:rPr>
          <w:rFonts w:ascii="Garamond" w:hAnsi="Garamond" w:cs="Times New Roman"/>
          <w:b/>
          <w:bCs/>
          <w:sz w:val="22"/>
          <w:szCs w:val="22"/>
        </w:rPr>
        <w:t>31 marzo 2020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 della delibera </w:t>
      </w:r>
      <w:r w:rsidR="008C7536" w:rsidRPr="005F2018">
        <w:rPr>
          <w:rFonts w:ascii="Garamond" w:hAnsi="Garamond" w:cs="Times New Roman"/>
          <w:sz w:val="22"/>
          <w:szCs w:val="22"/>
        </w:rPr>
        <w:t>n.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 </w:t>
      </w:r>
      <w:r w:rsidR="008C7536" w:rsidRPr="005F2018">
        <w:rPr>
          <w:rFonts w:ascii="Garamond" w:hAnsi="Garamond" w:cs="Times New Roman"/>
          <w:b/>
          <w:bCs/>
          <w:sz w:val="22"/>
          <w:szCs w:val="22"/>
        </w:rPr>
        <w:t>213/2020</w:t>
      </w:r>
      <w:r w:rsidR="008C7536" w:rsidRPr="00040079">
        <w:rPr>
          <w:rFonts w:ascii="Garamond" w:hAnsi="Garamond" w:cs="Times New Roman"/>
          <w:sz w:val="22"/>
          <w:szCs w:val="22"/>
        </w:rPr>
        <w:t>.</w:t>
      </w:r>
    </w:p>
    <w:p w:rsidR="008C7536" w:rsidRPr="00040079" w:rsidRDefault="00523AF1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40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Il Nucleo di Valutazion</w:t>
      </w:r>
      <w:r w:rsidR="008C7536" w:rsidRPr="00040079">
        <w:rPr>
          <w:rFonts w:ascii="Garamond" w:hAnsi="Garamond" w:cs="Times New Roman"/>
          <w:sz w:val="22"/>
          <w:szCs w:val="22"/>
        </w:rPr>
        <w:t>e ha svolto gli accertamenti:</w:t>
      </w:r>
    </w:p>
    <w:p w:rsidR="008C7536" w:rsidRPr="00040079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8C7536" w:rsidRPr="00040079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</w:p>
    <w:p w:rsidR="008C7536" w:rsidRDefault="008C7536" w:rsidP="008C7536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Sulla base di quanto sopra, </w:t>
      </w:r>
      <w:r w:rsidR="00523AF1">
        <w:rPr>
          <w:rFonts w:ascii="Garamond" w:hAnsi="Garamond" w:cs="Times New Roman"/>
          <w:sz w:val="22"/>
          <w:szCs w:val="22"/>
        </w:rPr>
        <w:t>il Nucleo di Valutazione</w:t>
      </w:r>
      <w:r w:rsidRPr="00040079">
        <w:rPr>
          <w:rFonts w:ascii="Garamond" w:hAnsi="Garamond" w:cs="Times New Roman"/>
          <w:sz w:val="22"/>
          <w:szCs w:val="22"/>
        </w:rPr>
        <w:t>, ai sensi dell’art. 14, co. 4, lett. g), del d.lgs. n. 150/2009</w:t>
      </w:r>
    </w:p>
    <w:p w:rsidR="008C7536" w:rsidRPr="00040079" w:rsidRDefault="008C7536" w:rsidP="008C7536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</w:p>
    <w:p w:rsidR="008C7536" w:rsidRPr="00040079" w:rsidRDefault="008C7536" w:rsidP="008C7536">
      <w:pPr>
        <w:spacing w:before="120" w:after="240"/>
        <w:jc w:val="center"/>
        <w:rPr>
          <w:rFonts w:ascii="Garamond" w:hAnsi="Garamond" w:cs="Times New Roman"/>
          <w:b/>
          <w:sz w:val="22"/>
          <w:szCs w:val="22"/>
        </w:rPr>
      </w:pPr>
      <w:r w:rsidRPr="00040079">
        <w:rPr>
          <w:rFonts w:ascii="Garamond" w:hAnsi="Garamond" w:cs="Times New Roman"/>
          <w:b/>
          <w:sz w:val="22"/>
          <w:szCs w:val="22"/>
        </w:rPr>
        <w:t>ATTESTA CHE</w:t>
      </w:r>
    </w:p>
    <w:p w:rsidR="008C7536" w:rsidRPr="00040079" w:rsidRDefault="008C7536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>ente ha individuato misure organizzative che assicurano il regolare funzionamento dei flussi informativi per la pubblicazione dei dati nella sezione “</w:t>
      </w:r>
      <w:r w:rsidRPr="00040079">
        <w:rPr>
          <w:rFonts w:ascii="Garamond" w:hAnsi="Garamond"/>
          <w:i/>
          <w:sz w:val="22"/>
          <w:szCs w:val="22"/>
        </w:rPr>
        <w:t>Amministrazione trasparente</w:t>
      </w:r>
      <w:r w:rsidRPr="00040079">
        <w:rPr>
          <w:rFonts w:ascii="Garamond" w:hAnsi="Garamond"/>
          <w:sz w:val="22"/>
          <w:szCs w:val="22"/>
        </w:rPr>
        <w:t>”;</w:t>
      </w:r>
    </w:p>
    <w:p w:rsidR="008C7536" w:rsidRPr="00040079" w:rsidRDefault="008C7536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:rsidR="008C7536" w:rsidRPr="00040079" w:rsidRDefault="008C7536" w:rsidP="008C7536">
      <w:pPr>
        <w:pStyle w:val="Paragrafoelenco"/>
        <w:spacing w:line="276" w:lineRule="auto"/>
        <w:ind w:left="386" w:firstLine="38"/>
        <w:rPr>
          <w:sz w:val="22"/>
          <w:szCs w:val="22"/>
        </w:rPr>
      </w:pPr>
      <w:r w:rsidRPr="00040079">
        <w:rPr>
          <w:rFonts w:ascii="Garamond" w:hAnsi="Garamond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NON ha disposto filtri </w:t>
      </w:r>
      <w:r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Pr="00040079">
        <w:rPr>
          <w:rFonts w:ascii="Garamond" w:hAnsi="Garamond"/>
          <w:i/>
          <w:sz w:val="22"/>
          <w:szCs w:val="22"/>
        </w:rPr>
        <w:t>web</w:t>
      </w:r>
      <w:r w:rsidRPr="00040079">
        <w:rPr>
          <w:rFonts w:ascii="Garamond" w:hAnsi="Garamond"/>
          <w:sz w:val="22"/>
          <w:szCs w:val="22"/>
        </w:rPr>
        <w:t xml:space="preserve"> di indicizzare ed effettuare ricerche all’interno della sezione AT, salvo le ipotesi consentite dalla normativa vigente;</w:t>
      </w:r>
    </w:p>
    <w:p w:rsidR="00697DFE" w:rsidRDefault="00697DFE" w:rsidP="008C7536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</w:p>
    <w:p w:rsidR="008C7536" w:rsidRPr="000C7854" w:rsidRDefault="008C7536" w:rsidP="008C7536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  <w:r w:rsidRPr="000C7854">
        <w:rPr>
          <w:rFonts w:ascii="Garamond" w:hAnsi="Garamond" w:cs="Times New Roman"/>
          <w:b/>
          <w:sz w:val="22"/>
          <w:szCs w:val="22"/>
        </w:rPr>
        <w:t>ATTESTA</w:t>
      </w:r>
    </w:p>
    <w:p w:rsidR="008C7536" w:rsidRDefault="008C7536" w:rsidP="008C7536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la veridicità</w:t>
      </w:r>
      <w:r w:rsidRPr="006F0EDC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6F0EDC"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 w:rsidRPr="006F0EDC">
        <w:rPr>
          <w:rFonts w:ascii="Garamond" w:hAnsi="Garamond"/>
          <w:sz w:val="22"/>
          <w:szCs w:val="22"/>
        </w:rPr>
        <w:t>,</w:t>
      </w:r>
      <w:r w:rsidRPr="006F0EDC"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 w:rsidRPr="006F0EDC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6F0EDC">
        <w:rPr>
          <w:rFonts w:ascii="Garamond" w:hAnsi="Garamond" w:cs="Times New Roman"/>
          <w:sz w:val="22"/>
          <w:szCs w:val="22"/>
        </w:rPr>
        <w:t>rispetto a quanto pubblicat</w:t>
      </w:r>
      <w:r w:rsidRPr="006F0EDC">
        <w:rPr>
          <w:rFonts w:ascii="Garamond" w:hAnsi="Garamond"/>
          <w:sz w:val="22"/>
          <w:szCs w:val="22"/>
        </w:rPr>
        <w:t xml:space="preserve">o sul sito </w:t>
      </w:r>
      <w:r w:rsidR="00774720">
        <w:rPr>
          <w:rFonts w:ascii="Garamond" w:hAnsi="Garamond"/>
          <w:sz w:val="22"/>
          <w:szCs w:val="22"/>
        </w:rPr>
        <w:t>dell’E</w:t>
      </w:r>
      <w:r w:rsidRPr="006F0EDC">
        <w:rPr>
          <w:rFonts w:ascii="Garamond" w:hAnsi="Garamond"/>
          <w:sz w:val="22"/>
          <w:szCs w:val="22"/>
        </w:rPr>
        <w:t>nte.</w:t>
      </w:r>
    </w:p>
    <w:p w:rsidR="001C5A0F" w:rsidRDefault="001C5A0F" w:rsidP="008C7536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</w:p>
    <w:p w:rsidR="008C7536" w:rsidRDefault="008C7536" w:rsidP="008C7536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Data</w:t>
      </w:r>
      <w:r w:rsidR="00181ADD">
        <w:rPr>
          <w:rFonts w:ascii="Garamond" w:hAnsi="Garamond" w:cs="Times New Roman"/>
          <w:sz w:val="22"/>
          <w:szCs w:val="22"/>
        </w:rPr>
        <w:t xml:space="preserve"> 13</w:t>
      </w:r>
      <w:bookmarkStart w:id="0" w:name="_GoBack"/>
      <w:bookmarkEnd w:id="0"/>
      <w:r w:rsidR="00523AF1">
        <w:rPr>
          <w:rFonts w:ascii="Garamond" w:hAnsi="Garamond" w:cs="Times New Roman"/>
          <w:sz w:val="22"/>
          <w:szCs w:val="22"/>
        </w:rPr>
        <w:t xml:space="preserve"> luglio 2020</w:t>
      </w:r>
    </w:p>
    <w:p w:rsidR="008C7536" w:rsidRDefault="008C7536" w:rsidP="008C7536">
      <w:pPr>
        <w:spacing w:before="120" w:line="320" w:lineRule="exact"/>
        <w:jc w:val="right"/>
        <w:rPr>
          <w:rFonts w:ascii="Garamond" w:hAnsi="Garamond" w:cs="Times New Roman"/>
          <w:sz w:val="22"/>
          <w:szCs w:val="22"/>
        </w:rPr>
      </w:pPr>
    </w:p>
    <w:p w:rsidR="008C7536" w:rsidRPr="006F0EDC" w:rsidRDefault="007037C8" w:rsidP="008C7536">
      <w:pPr>
        <w:spacing w:before="120" w:line="320" w:lineRule="exact"/>
        <w:jc w:val="righ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Il Presidente del Nucleo di Valutazione</w:t>
      </w:r>
    </w:p>
    <w:p w:rsidR="008C7536" w:rsidRPr="000C7854" w:rsidRDefault="007037C8" w:rsidP="007037C8">
      <w:pPr>
        <w:spacing w:before="120" w:line="320" w:lineRule="exact"/>
        <w:ind w:left="4248" w:firstLine="708"/>
        <w:rPr>
          <w:rFonts w:ascii="Garamond" w:hAnsi="Garamond"/>
        </w:rPr>
      </w:pPr>
      <w:r>
        <w:rPr>
          <w:rFonts w:ascii="Garamond" w:hAnsi="Garamond" w:cs="Times New Roman"/>
          <w:sz w:val="22"/>
          <w:szCs w:val="22"/>
        </w:rPr>
        <w:t xml:space="preserve">F.to </w:t>
      </w:r>
      <w:r w:rsidR="00841930" w:rsidRPr="00523AF1">
        <w:rPr>
          <w:rFonts w:ascii="Garamond" w:hAnsi="Garamond" w:cs="Times New Roman"/>
          <w:sz w:val="22"/>
          <w:szCs w:val="22"/>
        </w:rPr>
        <w:t>Dott. Marino Bernar</w:t>
      </w:r>
      <w:r w:rsidR="00523AF1" w:rsidRPr="00523AF1">
        <w:rPr>
          <w:rFonts w:ascii="Garamond" w:hAnsi="Garamond" w:cs="Times New Roman"/>
          <w:sz w:val="22"/>
          <w:szCs w:val="22"/>
        </w:rPr>
        <w:t>di</w:t>
      </w:r>
    </w:p>
    <w:p w:rsidR="00256C29" w:rsidRPr="008C7536" w:rsidRDefault="00256C29" w:rsidP="008C7536">
      <w:pPr>
        <w:widowControl/>
        <w:spacing w:before="120" w:after="0"/>
        <w:rPr>
          <w:rFonts w:ascii="Garamond" w:hAnsi="Garamond"/>
          <w:sz w:val="22"/>
          <w:szCs w:val="22"/>
        </w:rPr>
      </w:pPr>
    </w:p>
    <w:sectPr w:rsidR="00256C29" w:rsidRPr="008C7536" w:rsidSect="00E44099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B7" w:rsidRDefault="006C6FB7" w:rsidP="003B12FA">
      <w:pPr>
        <w:spacing w:after="0" w:line="240" w:lineRule="auto"/>
      </w:pPr>
      <w:r>
        <w:separator/>
      </w:r>
    </w:p>
  </w:endnote>
  <w:endnote w:type="continuationSeparator" w:id="0">
    <w:p w:rsidR="006C6FB7" w:rsidRDefault="006C6FB7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B7" w:rsidRDefault="006C6FB7" w:rsidP="003B12FA">
      <w:pPr>
        <w:spacing w:after="0" w:line="240" w:lineRule="auto"/>
      </w:pPr>
      <w:r>
        <w:separator/>
      </w:r>
    </w:p>
  </w:footnote>
  <w:footnote w:type="continuationSeparator" w:id="0">
    <w:p w:rsidR="006C6FB7" w:rsidRDefault="006C6FB7" w:rsidP="003B12FA">
      <w:pPr>
        <w:spacing w:after="0" w:line="240" w:lineRule="auto"/>
      </w:pPr>
      <w:r>
        <w:continuationSeparator/>
      </w:r>
    </w:p>
  </w:footnote>
  <w:footnote w:id="1">
    <w:p w:rsidR="008C7536" w:rsidRDefault="008C7536" w:rsidP="008C7536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FA" w:rsidRDefault="008C7536">
    <w:pPr>
      <w:pStyle w:val="Intestazione"/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213/2020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  <w:r w:rsidR="00545F8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17067"/>
    <w:rsid w:val="000225EB"/>
    <w:rsid w:val="0002314D"/>
    <w:rsid w:val="00076E25"/>
    <w:rsid w:val="00164997"/>
    <w:rsid w:val="00181ADD"/>
    <w:rsid w:val="001B1BC3"/>
    <w:rsid w:val="001C5A0F"/>
    <w:rsid w:val="00201E97"/>
    <w:rsid w:val="0021043E"/>
    <w:rsid w:val="00256C29"/>
    <w:rsid w:val="00270A50"/>
    <w:rsid w:val="00276483"/>
    <w:rsid w:val="002842FF"/>
    <w:rsid w:val="00291497"/>
    <w:rsid w:val="00357529"/>
    <w:rsid w:val="00396E7C"/>
    <w:rsid w:val="003A49E3"/>
    <w:rsid w:val="003B12FA"/>
    <w:rsid w:val="00427642"/>
    <w:rsid w:val="00443D21"/>
    <w:rsid w:val="004877D4"/>
    <w:rsid w:val="00523AF1"/>
    <w:rsid w:val="00545F8E"/>
    <w:rsid w:val="00546266"/>
    <w:rsid w:val="00565CA4"/>
    <w:rsid w:val="00582EF4"/>
    <w:rsid w:val="005959B2"/>
    <w:rsid w:val="00621F59"/>
    <w:rsid w:val="00697DFE"/>
    <w:rsid w:val="006C6FB7"/>
    <w:rsid w:val="007037C8"/>
    <w:rsid w:val="00774720"/>
    <w:rsid w:val="007B05B7"/>
    <w:rsid w:val="007C0124"/>
    <w:rsid w:val="007C7B3D"/>
    <w:rsid w:val="007F0EA9"/>
    <w:rsid w:val="00841930"/>
    <w:rsid w:val="008644A8"/>
    <w:rsid w:val="00880960"/>
    <w:rsid w:val="008C7536"/>
    <w:rsid w:val="0096051F"/>
    <w:rsid w:val="0096077B"/>
    <w:rsid w:val="009F3BC2"/>
    <w:rsid w:val="00A13B90"/>
    <w:rsid w:val="00A156E4"/>
    <w:rsid w:val="00A55E68"/>
    <w:rsid w:val="00AC2FB3"/>
    <w:rsid w:val="00AD1889"/>
    <w:rsid w:val="00AF6DCB"/>
    <w:rsid w:val="00B01250"/>
    <w:rsid w:val="00BB327F"/>
    <w:rsid w:val="00BC1800"/>
    <w:rsid w:val="00C96314"/>
    <w:rsid w:val="00D858FF"/>
    <w:rsid w:val="00DC23BF"/>
    <w:rsid w:val="00DE1E0F"/>
    <w:rsid w:val="00E3319F"/>
    <w:rsid w:val="00E44099"/>
    <w:rsid w:val="00E8484F"/>
    <w:rsid w:val="00EF56F9"/>
    <w:rsid w:val="00F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E1F8B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6</cp:revision>
  <cp:lastPrinted>2018-04-19T06:20:00Z</cp:lastPrinted>
  <dcterms:created xsi:type="dcterms:W3CDTF">2020-07-13T10:55:00Z</dcterms:created>
  <dcterms:modified xsi:type="dcterms:W3CDTF">2020-07-14T08:38:00Z</dcterms:modified>
</cp:coreProperties>
</file>